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https://www.autoritedelaconcurrence.fr/fr/decision-de-controle-des-concentrations/relative-la-prise-de-controle-exclusif-des-societes-59</w:t>
      </w:r>
    </w:p>
    <w:p>
      <w:r>
        <w:t>Pages translated : 2</w:t>
      </w:r>
    </w:p>
    <w:p/>
    <w:p>
      <w:r>
        <w:rPr>
          <w:b/>
        </w:rPr>
        <w:t>[Pages 1–2]</w:t>
      </w:r>
    </w:p>
    <w:p>
      <w:r>
        <w:t xml:space="preserve">FRENCH REPUBLIC  </w:t>
        <w:br/>
        <w:t xml:space="preserve">Decision No. 24-DCC-109 of May 31, 2024  </w:t>
        <w:br/>
        <w:t>regarding the exclusive control acquisition of the companies Valentin Traiteur and Salaisons Bolard Frères by the company 2E 4B Management</w:t>
      </w:r>
    </w:p>
    <w:p>
      <w:r>
        <w:t>The Competition Authority,</w:t>
      </w:r>
    </w:p>
    <w:p>
      <w:r>
        <w:t>Having regard to the complete notification file sent to the mergers department on May 14, 2024, concerning the exclusive control acquisition of the companies Valentin Traiteur and Salaisons Bolard Frères by the company 2E 4B Management, formalized by the acceptance of several letters of intent signed on December 21, 2023, and March 25 and 26, 2024;</w:t>
      </w:r>
    </w:p>
    <w:p>
      <w:r>
        <w:t>Having regard to Book IV of the Commercial Code relating to the freedom of prices and competition, and in particular its Articles L. 430-1 to L. 430-7;</w:t>
      </w:r>
    </w:p>
    <w:p>
      <w:r>
        <w:t>Adopts the following decision:</w:t>
      </w:r>
    </w:p>
    <w:p>
      <w:r>
        <w:t>1. The notified operation consists of both the exclusive control acquisition by the company 2E 4B Management of the company Valentin Traiteur and the exclusive control acquisition of Salaisons Bolard Frères by Valentin Traiteur. Valentin Traiteur and Salaisons Bolard Frères are active in the sector of fresh catering products, snacks, starters, savory pies, and prepared dishes, notably sold in large and medium-sized retail outlets. These two operations constitute interdependent operations and may, for this reason, be considered as a single concentration within the meaning of Article L. 430-1 of the Commercial Code. Given the revenues generated by the companies concerned, the operation does not fall under the jurisdiction of the European Union. On the other hand, the control thresholds mentioned in I of Article L. 430-2 of the Commercial Code are exceeded. The present operation is therefore subject to the provisions of Articles L. 430-3 and following of the Commercial Code relating to economic concentration.</w:t>
      </w:r>
    </w:p>
    <w:p>
      <w:r>
        <w:t>2. In view of the elements of the file, the operation is not likely to harm competition in the relevant markets.</w:t>
      </w:r>
    </w:p>
    <w:p>
      <w:r>
        <w:t xml:space="preserve">DECIDES  </w:t>
        <w:br/>
        <w:t xml:space="preserve">Sole Article: The operation notified under number 24-074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