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https://www.autoritedelaconcurrence.fr/fr/decision-de-controle-des-concentrations/relative-la-prise-de-controle-exclusif-des-societes-6</w:t>
      </w:r>
    </w:p>
    <w:p>
      <w:r>
        <w:t>Pages translated : 2</w:t>
      </w:r>
    </w:p>
    <w:p/>
    <w:p>
      <w:r>
        <w:rPr>
          <w:b/>
        </w:rPr>
        <w:t>[Pages 1–2]</w:t>
      </w:r>
    </w:p>
    <w:p>
      <w:r>
        <w:t xml:space="preserve">FRENCH REPUBLIC  </w:t>
        <w:br/>
        <w:t xml:space="preserve">Decision No. 13-DCC-154 of October 30, 2013  </w:t>
        <w:br/>
        <w:t xml:space="preserve">regarding the exclusive control acquisition of the companies Stepharo and Prima  </w:t>
        <w:br/>
        <w:t xml:space="preserve">by the ITM Alimentaire Sud Est group  </w:t>
        <w:br/>
        <w:t xml:space="preserve">The Competition Authority,  </w:t>
        <w:br/>
        <w:t xml:space="preserve">Having regard to the complete notification file sent to the mergers department on October 10, 2013, concerning the exclusive control acquisition of the companies Stepharo and Prima by the company ITM Alimentaire Sud Est, materialized by a share transfer agreement dated September 17,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Stepharo and Prima, operating a retail outlet primarily focused on food, under the Intermarché brand, in the cities of Narbonne (11) and La Redorte (11), by the company ITM Alimentaire Sud Est. It constitutes a concentration within the meaning of Article L. 430-1 of the Commercial Code. Given the turnover achieved by the companies concerned, the operation does not have a community dimension. However, the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13-181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