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https://www.autoritedelaconcurrence.fr/fr/decision-de-controle-des-concentrations/relative-la-prise-de-controle-exclusif-des-societes-60</w:t>
      </w:r>
    </w:p>
    <w:p>
      <w:r>
        <w:t>Pages translated : 2</w:t>
      </w:r>
    </w:p>
    <w:p/>
    <w:p>
      <w:r>
        <w:rPr>
          <w:b/>
        </w:rPr>
        <w:t>[Pages 1–2]</w:t>
      </w:r>
    </w:p>
    <w:p>
      <w:r>
        <w:t xml:space="preserve">FRENCH REPUBLIC  </w:t>
        <w:br/>
        <w:t xml:space="preserve">Decision No. 24-DCC-230 of November 4, 2024  </w:t>
        <w:br/>
        <w:t xml:space="preserve">regarding the exclusive control acquisition of the companies Chrispie’s and Aramis  </w:t>
        <w:br/>
        <w:t>by the company Coopérative U</w:t>
      </w:r>
    </w:p>
    <w:p>
      <w:r>
        <w:t>The Competition Authority,</w:t>
      </w:r>
    </w:p>
    <w:p>
      <w:r>
        <w:t>Having regard to the complete notification file submitted to the mergers department on October 1, 2024, concerning the exclusive control acquisition of the companies Chrispie’s and Aramis by the company Coopérative U, formalized by a letter of intent signed on June 18, 2024, and a transfer agreement signed on August 7, 2024;</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company Coopérative U of all the shares of the company Chrispie’s, which also controls the company Aramis. The company Chrispie’s also holds the company Belvedis, which operates a store under the Super U brand (“of Talant Belvédère”), with a sales area of 1,881 m², in Talant (21). The company Aramis, for its part, holds the company Arandes, which operates a store under the Super U brand (“of Talant Arandes”), with a sales area of 1,560 m² located in the same municipality. The operation constitutes a concentration within the meaning of Article L. 430-1 of the Commercial Code. Given the revenues generated by the companies concerned, the operation does not fall under the jurisdiction of the European Union. On the other hand, the control thresholds mentioned in II of Article L. 430-2 of the Commercial Code are exceeded. The present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24-247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