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https://www.autoritedelaconcurrence.fr/fr/decision-de-controle-des-concentrations/relative-la-prise-de-controle-exclusif-des-societes-61</w:t>
      </w:r>
    </w:p>
    <w:p>
      <w:r>
        <w:t>Pages translated : 2</w:t>
      </w:r>
    </w:p>
    <w:p/>
    <w:p>
      <w:r>
        <w:rPr>
          <w:b/>
        </w:rPr>
        <w:t>[Pages 1–2]</w:t>
      </w:r>
    </w:p>
    <w:p>
      <w:r>
        <w:t xml:space="preserve">FRENCH REPUBLIC  </w:t>
        <w:br/>
        <w:t xml:space="preserve">Decision No. 24-DCC-269 of December 5, 2024  </w:t>
        <w:br/>
        <w:t xml:space="preserve">regarding the exclusive control acquisition of the companies Etablissements  </w:t>
        <w:br/>
        <w:t xml:space="preserve">Chesneau and Chesneau Agri-Ouest by the company Holding BPM Agri  </w:t>
        <w:br/>
        <w:t xml:space="preserve">(BPM group)  </w:t>
        <w:br/>
        <w:t xml:space="preserve">The Competition Authority,  </w:t>
        <w:br/>
        <w:t xml:space="preserve">Having regard to the complete notification file sent to the mergers department on  </w:t>
        <w:br/>
        <w:t xml:space="preserve">November 20, 2024, concerning the exclusive control acquisition of the companies Etablissements Chesneau  </w:t>
        <w:br/>
        <w:t xml:space="preserve">and Chesneau Agri-Ouest by the company Holding BPM Agri formalized by a share transfer agreement dated November 19, 2024;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Holding BPM Agri of 100% of  </w:t>
        <w:br/>
        <w:t xml:space="preserve">the capital and voting rights of the companies Etablissements Chesneau and Chesneau Agri-Ouest.  </w:t>
        <w:br/>
        <w:t xml:space="preserve">Etablissements Chesneau primarily engages in the purchase, sale, and rental of all agricultural machines and equipment, new or used, agricultural work on demand or to specification, and primarily of equipment from the John Deere brand. Chesneau Agri-Ouest primarily engages in trading, design, manufacturing, realization, and repair of all agricultural equipment and tools, mainly of equipment from the John Deere brand. The operation constitutes a concentration within the meaning of Article L. 430-1 of the Commercial Code. Given the revenues generated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24-300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