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https://www.autoritedelaconcurrence.fr/fr/decision-de-controle-des-concentrations/relative-la-prise-de-controle-exclusif-des-societes-62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24-DCC-272 of December 13, 2024</w:t>
        <w:br/>
        <w:t>regarding the exclusive control acquisition of the companies</w:t>
        <w:br/>
        <w:t>Bretagne Automobiles, Bretagne Automobiles Brest, and</w:t>
        <w:br/>
        <w:t>Bretagne Automobiles Vannes by the company Financière POL</w:t>
        <w:br/>
        <w:t>The Competition Authority,</w:t>
        <w:br/>
        <w:t>Having regard to the complete notification file submitted to the mergers department on</w:t>
        <w:br/>
        <w:t>November 27, 2024, concerning the exclusive control acquisition of the companies Bretagne Automobiles,</w:t>
        <w:br/>
        <w:t>Bretagne Automobiles Brest, and Bretagne Automobiles Vannes by the company Financière POL,</w:t>
        <w:br/>
        <w:t>formalized by a transfer agreement signed on October 10,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exclusive control by the company Financière POL,</w:t>
        <w:br/>
        <w:t>a subsidiary of the Lecluse Automobiles group, over the companies Bretagne Automobiles, Bretagne</w:t>
        <w:br/>
        <w:t>Automobiles Brest, and Bretagne Automobiles Vannes. The companies Bretagne Automobiles and</w:t>
        <w:br/>
        <w:t>Bretagne Automobiles Brest operate two car dealerships under the Porsche brand,</w:t>
        <w:br/>
        <w:t>located in Lanester (56) and Plougastel-Daoulas (29), and the company Bretagne Automobiles Vannes</w:t>
        <w:br/>
        <w:t>operates a repair garage and used vehicle sales located in Theix-Noyalo (56).</w:t>
        <w:br/>
        <w:t>The operation constitutes a concentration within the meaning of Article L. 430-1 of the Commercial Code.</w:t>
        <w:br/>
        <w:t>Given the turnover generated by the companies concerned, the operation does not fall</w:t>
        <w:br/>
        <w:t>under the jurisdiction of the European Union. However, the control thresholds mentioned</w:t>
        <w:br/>
        <w:t>in II of Article L. 430-2 of the Commercial Code are exceeded. This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24-276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