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https://www.autoritedelaconcurrence.fr/fr/decision-de-controle-des-concentrations/relative-la-prise-de-controle-exclusif-des-societes-64</w:t>
      </w:r>
    </w:p>
    <w:p>
      <w:r>
        <w:t>Pages translated : 2</w:t>
      </w:r>
    </w:p>
    <w:p/>
    <w:p>
      <w:r>
        <w:rPr>
          <w:b/>
        </w:rPr>
        <w:t>[Pages 1–2]</w:t>
      </w:r>
    </w:p>
    <w:p>
      <w:r>
        <w:t>FRENCH REPUBLIC</w:t>
        <w:br/>
        <w:t>Decision No. 25-DCC-262 of November 5, 2025</w:t>
        <w:br/>
        <w:t>regarding the exclusive control acquisition of the companies Grosfillex SAS,</w:t>
        <w:br/>
        <w:t>Arban SAS, Grosfillex Immobilier SA, and Grosfillex Inc.</w:t>
        <w:br/>
        <w:t>by the company Polynova Industries</w:t>
        <w:br/>
        <w:t>The Competition Authority,</w:t>
        <w:br/>
        <w:t>Having regard to the complete notification file submitted to the mergers department on October 21, 2025,</w:t>
        <w:br/>
        <w:t>concerning the exclusive control acquisition of the companies Grosfillex SAS, Arban SAS, Grosfillex</w:t>
        <w:br/>
        <w:t>Immobilier SA, and Grosfillex Inc. by the company Polynova Industries, formalized by a call option signed on August 7, 2025, to which a transfer protocol under suspensive conditions is attached;</w:t>
        <w:br/>
        <w:t>Having regard to Book IV of the Commercial Code relating to the freedom of prices and competition, and</w:t>
        <w:br/>
        <w:t>notably its Articles L. 430-1 to L. 430-7;</w:t>
        <w:br/>
        <w:t>Having regard to the other documents in the file;</w:t>
        <w:br/>
        <w:t>Adopts the following decision:</w:t>
        <w:br/>
        <w:t>1. The notified operation consists of the acquisition of 100% of the capital and voting rights of</w:t>
        <w:br/>
        <w:t>the companies Grosfillex SAS, Arban SAS, Grosfillex Immobilier SA, and Grosfillex Inc. by the company</w:t>
        <w:br/>
        <w:t>Polynova Industries from the company Financière Grosfillex and the Grosfillex family. The</w:t>
        <w:br/>
        <w:t>relevant sectors are those of the design, manufacture, production, and marketing of garden furniture for private and professional clients, and the design, manufacture, production, and marketing of windows, shutters, and doors.</w:t>
        <w:br/>
        <w:t>It constitutes a concentration operation within the meaning of Article L. 430-1 of the Commercial Code.</w:t>
        <w:br/>
        <w:t>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25-229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