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https://www.autoritedelaconcurrence.fr/fr/decision-de-controle-des-concentrations/relative-la-prise-de-controle-exclusif-des-societes-65</w:t>
      </w:r>
    </w:p>
    <w:p>
      <w:r>
        <w:t>Pages translated : 2</w:t>
      </w:r>
    </w:p>
    <w:p/>
    <w:p>
      <w:r>
        <w:rPr>
          <w:b/>
        </w:rPr>
        <w:t>[Pages 1–2]</w:t>
      </w:r>
    </w:p>
    <w:p>
      <w:r>
        <w:t>FRENCH REPUBLIC</w:t>
        <w:br/>
        <w:t>Decision No. 25-DCC-271 of November 14, 2025</w:t>
        <w:br/>
        <w:t>regarding the exclusive control acquisition of Automobiles SP Motors and MC Motors by the Ravon group</w:t>
        <w:br/>
        <w:t>The Competition Authority,</w:t>
        <w:br/>
        <w:t>Having regard to the complete notification file submitted to the mergers department on October 29, 2025, concerning the exclusive control acquisition of Automobiles SP Motors and MC Motors by the company P.A.R., holding of the Ravon group, formalized by a share transfer agreement and an amendment signed on October 16 and 20, 2025, respectively;</w:t>
        <w:br/>
        <w:t>Having regard to Book IV of the Commercial Code relating to the freedom of prices and competition, and in particular its Articles L. 430-1 to L. 430-7;</w:t>
        <w:br/>
        <w:t>Having regard to the elements transmitted by the notifying party during the investigation;</w:t>
        <w:br/>
        <w:t>Adopts the following decision:</w:t>
        <w:br/>
        <w:t>1. The notified operation consists of the acquisition, by the company P.A.R., holding of the Ravon group, of 90% of the capital and voting rights of Automobiles SP Motors and MC Motors, which are active in the automobile distribution sector in Vaucluse (84). This operation constitutes a concentration within the meaning of Article L. 430-1 of the Commercial Code. Given the revenues generated by the companies concerned, the operation does not fall under the jurisdiction of the European Union. However, the control thresholds mentioned in II of Article L. 430-2 of the Commercial Code are exceeded. The present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25-269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