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https://www.autoritedelaconcurrence.fr/fr/decision-de-controle-des-concentrations/relative-la-prise-de-controle-exclusif-des-societes-66</w:t>
      </w:r>
    </w:p>
    <w:p>
      <w:r>
        <w:t>Pages translated : 2</w:t>
      </w:r>
    </w:p>
    <w:p/>
    <w:p>
      <w:r>
        <w:rPr>
          <w:b/>
        </w:rPr>
        <w:t>[Pages 1–2]</w:t>
      </w:r>
    </w:p>
    <w:p>
      <w:r>
        <w:t xml:space="preserve">FRENCH REPUBLIC  </w:t>
        <w:br/>
        <w:t xml:space="preserve">Decision No. 25-DCC-270 of November 13, 2025  </w:t>
        <w:br/>
        <w:t xml:space="preserve">regarding the exclusive control acquisition of the companies Distribution Industrielle et Automobile Nantaise, D.Location, and Lasseux by the company Scania France  </w:t>
        <w:br/>
        <w:t xml:space="preserve">The Competition Authority,  </w:t>
        <w:br/>
        <w:t xml:space="preserve">Having regard to the complete notification file sent to the mergers department on October 24, 2025, concerning the exclusive control acquisition of the companies Distribution Industrielle et Automobile Nantaise, D.Location, and Lasseux by the company Scania France, formalized by a share transfer agreement dated October 17, 2025;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by the company Scania France, of all the shares comprising the share capital of the companies Distribution Industrielle et Automobile Nantaise, D.Location, and Lasseux, which are active in the distribution, maintenance, rental, and repair of industrial and heavy goods vehicles, notably under the brand "Scania." Given the turnover generated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25-254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