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https://www.autoritedelaconcurrence.fr/fr/decision-de-controle-des-concentrations/relative-la-prise-de-controle-exclusif-des-societes-67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25-DCC-324 of December 17, 2025</w:t>
        <w:br/>
        <w:t>regarding the exclusive control acquisition of the companies Alliance Automobile,</w:t>
        <w:br/>
        <w:t>Dreux Motors, and Orléans Motors by the GCA group</w:t>
        <w:br/>
        <w:t>The Competition Authority,</w:t>
        <w:br/>
        <w:t>Having regard to the complete notification file submitted to the mergers department on</w:t>
        <w:br/>
        <w:t>December 1, 2025, concerning the exclusive control acquisition of the companies Alliance Automobile,</w:t>
        <w:br/>
        <w:t>Dreux Motors, and Orléans Motors by the company GCA Investissements, the holding company of the GCA group,</w:t>
        <w:br/>
        <w:t>formalized by a letter of intent and an amendment signed on July 4 and</w:t>
        <w:br/>
        <w:t>November 5, 2025, respectively;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acquisition, by the company GCA Investissements, the holding company of</w:t>
        <w:br/>
        <w:t>the GCA group, of 100% of the capital and voting rights of the companies Alliance Automobile,</w:t>
        <w:br/>
        <w:t>Dreux Motors, and Orléans Motors, which are active in the automobile distribution sector in the department of Eure-et-Loir (28) for the first two, and in the department of Loiret (45) for the last one. This operation constitutes a concentration within the meaning of Article L. 430-1 of the Commercial Code. Given the turnover achieved by the</w:t>
        <w:br/>
        <w:t>concerned companies, the operation does not fall under the jurisdiction of the European Union. However, the control thresholds mentioned in II of Article L. 430-2 of the Commercial Code</w:t>
        <w:br/>
        <w:t>are exceeded. This operation is therefore subject to the provisions of Articles L. 430-3 and</w:t>
        <w:br/>
        <w:t>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25-345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