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https://www.autoritedelaconcurrence.fr/fr/decision-de-controle-des-concentrations/relative-la-prise-de-controle-exclusif-des-societes-68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26-DCC-78 of April 1, 2026</w:t>
        <w:br/>
        <w:t>regarding the exclusive control acquisition of the companies Verrouil and Ava</w:t>
        <w:br/>
        <w:t>by the company Groupe Clim</w:t>
        <w:br/>
        <w:t>The Competition Authority,</w:t>
        <w:br/>
        <w:t>Having regard to the notification file sent to the mergers department on March 13, 2026, declared</w:t>
        <w:br/>
        <w:t>complete on March 19, 2026, concerning the exclusive control acquisition of the companies Verrouil and Ava by</w:t>
        <w:br/>
        <w:t>the company Groupe Clim, formalized by a transfer protocol signed on March 18, 2026;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Groupe Clim of</w:t>
        <w:br/>
        <w:t>the companies Verrouil and Ava, which operate respectively two car dealerships,</w:t>
        <w:br/>
        <w:t>under the brands Mercedes Benz and Hyundai, located in Bergerac (24) and one car dealership,</w:t>
        <w:br/>
        <w:t>under the brand Hyundai, located in Notre-Dame-de-Sanilhac (24). The operation</w:t>
        <w:br/>
        <w:t>constitutes a concentration within the meaning of Article L. 430-1 of the Commercial Code. Given</w:t>
        <w:br/>
        <w:t>the turnover generated by the companies concerned, the operation does not fall under the</w:t>
        <w:br/>
        <w:t>jurisdiction of the European Union. On the other hand, the control thresholds mentioned in II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26-069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