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https://www.autoritedelaconcurrence.fr/fr/decision-de-controle-des-concentrations/relative-la-prise-de-controle-exclusif-des-societes-69</w:t>
      </w:r>
    </w:p>
    <w:p>
      <w:r>
        <w:t>Pages translated : 2</w:t>
      </w:r>
    </w:p>
    <w:p/>
    <w:p>
      <w:r>
        <w:rPr>
          <w:b/>
        </w:rPr>
        <w:t>[Pages 1–2]</w:t>
      </w:r>
    </w:p>
    <w:p>
      <w:r>
        <w:t xml:space="preserve">FRENCH REPUBLIC  </w:t>
        <w:br/>
        <w:t xml:space="preserve">Decision No. 26-DCC-125 of June 2, 2026  </w:t>
        <w:br/>
        <w:t xml:space="preserve">regarding the exclusive control acquisition of Grosfillex and Arban companies  </w:t>
        <w:br/>
        <w:t xml:space="preserve">by the company Palémon  </w:t>
        <w:br/>
        <w:t>The Competition Authority,</w:t>
      </w:r>
    </w:p>
    <w:p>
      <w:r>
        <w:t xml:space="preserve">Having regard to the complete notification file submitted to the mergers department on May 13, 2026,  </w:t>
        <w:br/>
        <w:t xml:space="preserve">concerning the exclusive control acquisition of Grosfillex and Arban companies by the company Palémon,  </w:t>
        <w:br/>
        <w:t>formalized by a sale option concluded on April 15, 2026;</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of Grosfillex and Arban companies  </w:t>
        <w:br/>
        <w:t xml:space="preserve">by the company Palémon, itself owned by Mr. François Martin. The sectors concerned are those of the design, manufacturing, production, and marketing of garden furniture for private and professional clients and the design, manufacturing, production, and marketing of windows, shutters, and doors.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concerned markets.</w:t>
      </w:r>
    </w:p>
    <w:p>
      <w:r>
        <w:t xml:space="preserve">DECIDES  </w:t>
        <w:br/>
        <w:t xml:space="preserve">Sole Article: The operation notified under number 26-117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