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14-DCC-136 of September 24, 2014  </w:t>
        <w:br/>
        <w:t xml:space="preserve">regarding the exclusive control acquisition of the companies Eurogravure S.p.A.; Nuovo Istituto Italiano d’Arti Grafiche S.p.A.; Arti Grafiche Johnson S.p.A. and Mohn Media Kalendar &amp; Promotion Service GmbH by Bavaria Industries Group AG  </w:t>
        <w:br/>
        <w:t xml:space="preserve">The Competition Authority,  </w:t>
        <w:br/>
        <w:t xml:space="preserve">Having regard to the notification file submitted in full to the mergers department on September 2, 2014, concerning the exclusive control acquisition of the companies Eurogravure S.p.A.; Nuovo Istituto Italiano d’Arti Grafiche S.p.A.; Arti Grafiche Johnson S.p.A. and Mohn Media Kalendar &amp; Promotion Service GmbH by Bavaria Industries Group AG, formalized by a share transfer agreement dated August 14, 2014;  </w:t>
        <w:br/>
        <w:t xml:space="preserve">Having regard to Book IV of the Commercial Code relating to price freedom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companies Eurogravure S.p.A.; Nuovo Istituto Italiano d’Arti Grafiche S.p.A.; Arti Grafiche Johnson S.p.A. and Mohn Media Kalendar &amp; Promotion Service GmbH, active in the sectors of printing services, manufacturing of office supplies, and distribution of promotional gifts, by Bavaria Industries Group AG. This operation constitutes a concentration within the meaning of Article L. 430-1 of the Commercial Code. Given the turnover achieved by the companies concerned, the operation does not have a community dimension. On the other hand, the control thresholds related to concentration operations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14-154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