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https://www.autoritedelaconcurrence.fr/fr/decision-de-controle-des-concentrations/relative-la-prise-de-controle-exclusif-des-societes-8</w:t>
      </w:r>
    </w:p>
    <w:p>
      <w:r>
        <w:t>Pages translated : 2</w:t>
      </w:r>
    </w:p>
    <w:p/>
    <w:p>
      <w:r>
        <w:rPr>
          <w:b/>
        </w:rPr>
        <w:t>[Pages 1–2]</w:t>
      </w:r>
    </w:p>
    <w:p>
      <w:r>
        <w:t xml:space="preserve">FRENCH REPUBLIC  </w:t>
        <w:br/>
        <w:t xml:space="preserve">Decision No. 14-DCC-168 of November 13, 2014  </w:t>
        <w:br/>
        <w:t xml:space="preserve">regarding the exclusive control acquisition of the companies Garage JP Keller and Keller Automobile by the company Paul Kroely Automobiles  </w:t>
        <w:br/>
        <w:t xml:space="preserve">The Competition Authority,  </w:t>
        <w:br/>
        <w:t xml:space="preserve">Having regard to the notification file sent to the mergers department on September 24, 2014, and declared complete on October 27, 2014, concerning the exclusive control acquisition of the companies Garage JP Keller and Keller Automobile by the company Paul Kroely Automobiles, and materialized by a business asset transfer agreement dated August 8,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exclusive control of the companies Garage JP Keller and Keller Automobile, each operating a business as an authorized automobile repairer for the Volkswagen, Skoda, and Audi brands in the city of Obernai (67), by the company Paul Kroely Automobiles, which is itself active in automobile distribution.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14-164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