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https://www.autoritedelaconcurrence.fr/fr/decision-de-controle-des-concentrations/relative-la-prise-de-controle-exclusif-des-societes-abm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22-DCC-220 of November 15, 2022  </w:t>
        <w:br/>
        <w:t xml:space="preserve">regarding the exclusive control acquisition of the companies  </w:t>
        <w:br/>
        <w:t xml:space="preserve">ABM Agen and ABM Périgueux by the company Eden Auto  </w:t>
        <w:br/>
        <w:t xml:space="preserve">The Competition Authority,  </w:t>
        <w:br/>
        <w:t xml:space="preserve">Having regard to the complete notification file sent to the mergers department on October 27, 2022  </w:t>
        <w:br/>
        <w:t xml:space="preserve">concerning the exclusive control acquisition of the companies ABM Agen and ABM Périgueux by the company  </w:t>
        <w:br/>
        <w:t xml:space="preserve">Eden Auto, formalized by a letter of intent dated September 30,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Eden Auto, active  </w:t>
        <w:br/>
        <w:t xml:space="preserve">in the automotive distribution sector, of the companies ABM Agen and ABM Périgueux which  </w:t>
        <w:br/>
        <w:t xml:space="preserve">operate two car dealerships located respectively in Boé (47) and Trélissac (24).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related to retail trade mentioned in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22-250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