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https://www.autoritedelaconcurrence.fr/fr/decision-de-controle-des-concentrations/relative-la-prise-de-controle-exclusif-des-societes-agde</w:t>
      </w:r>
    </w:p>
    <w:p>
      <w:r>
        <w:t>Pages translated : 2</w:t>
      </w:r>
    </w:p>
    <w:p/>
    <w:p>
      <w:r>
        <w:rPr>
          <w:b/>
        </w:rPr>
        <w:t>[Pages 1–2]</w:t>
      </w:r>
    </w:p>
    <w:p>
      <w:r>
        <w:t xml:space="preserve">FRENCH REPUBLIC  </w:t>
        <w:br/>
        <w:t xml:space="preserve">Decision No. 18-DCC-29 of March 6, 2018  </w:t>
        <w:br/>
        <w:t xml:space="preserve">regarding the exclusive control acquisition of the companies Agde Distribution, Adicam, and Acar by the company ITM Alimentaire Sud Est  </w:t>
        <w:br/>
        <w:t xml:space="preserve">The Competition Authority,  </w:t>
        <w:br/>
        <w:t xml:space="preserve">Having regard to the complete notification file submitted to the mergers department on February 9, 2018, concerning the exclusive control acquisition of the companies Agde Distribution, Adicam, and Acar by the company ITM Alimentaire Sud Est, and formalized by a share and stock transfer agreement dated December 12,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ITM Entreprises Sud Est of the companies Agde Distribution and Adicam, operating two food-dominant retail outlets under the Intermarché group brands in Agde (34), and of the company Acar, which operates a service station in the same municipality.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18-026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