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https://www.autoritedelaconcurrence.fr/fr/decision-de-controle-des-concentrations/relative-la-prise-de-controle-exclusif-des-societes-aglae</w:t>
      </w:r>
    </w:p>
    <w:p>
      <w:r>
        <w:t>Pages translated : 2</w:t>
      </w:r>
    </w:p>
    <w:p/>
    <w:p>
      <w:r>
        <w:rPr>
          <w:b/>
        </w:rPr>
        <w:t>[Pages 1–2]</w:t>
      </w:r>
    </w:p>
    <w:p>
      <w:r>
        <w:t xml:space="preserve">FRENCH REPUBLIC  </w:t>
        <w:br/>
        <w:t xml:space="preserve">Decision No. 19-DCC-150 of July 25, 2019  </w:t>
        <w:br/>
        <w:t xml:space="preserve">regarding the exclusive control acquisition of the companies Aglae and Lauralex  </w:t>
        <w:br/>
        <w:t xml:space="preserve">by the Cooperative U Enseigne  </w:t>
        <w:br/>
        <w:t xml:space="preserve">The Competition Authority,  </w:t>
        <w:br/>
        <w:t xml:space="preserve">Having regard to the complete notification file sent to the mergers department on July 4, 2019,  </w:t>
        <w:br/>
        <w:t xml:space="preserve">concerning the exclusive control acquisition of the companies Aglae and Lauralex by the Cooperative  </w:t>
        <w:br/>
        <w:t xml:space="preserve">U Enseigne, and formalized by a letter of intent dated June 20, 2019;  </w:t>
        <w:br/>
        <w:t xml:space="preserve">Having regard to Book IV of the Commercial Code relating to the freedom of prices and competition, and  </w:t>
        <w:br/>
        <w:t xml:space="preserve">notably its Articles L. 430-1 to L. 430-7;  </w:t>
        <w:br/>
        <w:t xml:space="preserve">Having regard to the elements transmitted during the investigation by the notifying party;  </w:t>
        <w:br/>
        <w:t xml:space="preserve">Adopts the following decision:  </w:t>
        <w:br/>
        <w:t xml:space="preserve">1. The notified operation consists of the acquisition by the Cooperative U Enseigne of the exclusive control  </w:t>
        <w:br/>
        <w:t xml:space="preserve">of the companies Aglae, a holding company, and Lauralex, which operates a food-dominant retail outlet  </w:t>
        <w:br/>
        <w:t xml:space="preserve">under the Super U brand with a surface area of 2,500 m² located in Verniolle (09). It constitutes a concentration operation within the meaning of Article L. 430-1 of the Commercial Code. Given the turnover generated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19-174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