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https://www.autoritedelaconcurrence.fr/fr/decision-de-controle-des-concentrations/relative-la-prise-de-controle-exclusif-des-societes-albadis</w:t>
      </w:r>
    </w:p>
    <w:p>
      <w:r>
        <w:t>Pages translated : 2</w:t>
      </w:r>
    </w:p>
    <w:p/>
    <w:p>
      <w:r>
        <w:rPr>
          <w:b/>
        </w:rPr>
        <w:t>[Pages 1–2]</w:t>
      </w:r>
    </w:p>
    <w:p>
      <w:r>
        <w:t xml:space="preserve">FRENCH REPUBLIC  </w:t>
        <w:br/>
        <w:t xml:space="preserve">Decision No. 24-DCC-139 of June 28, 2024  </w:t>
        <w:br/>
        <w:t>regarding the exclusive control acquisition of the companies Albadis and 1155.Europe by the company Dejean Holding</w:t>
      </w:r>
    </w:p>
    <w:p>
      <w:r>
        <w:t>The Competition Authority,</w:t>
      </w:r>
    </w:p>
    <w:p>
      <w:r>
        <w:t>Having regard to the complete notification file submitted to the mergers department on June 21, 2024, concerning the exclusive control acquisition of the companies Albadis and 1155.Europe by the company Dejean Holding, formalized by a letter of intent dated June 12, 2024, and a sales agreement dated June 20, 2024;</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by the company Dejean Holding of the company Albadis operating a retail point of sale predominantly food-related of the hypermarket type with an area of 6,520 m² under the U brand located in Montauban (86), and of the company 1155.Europe, owner of the premises of the hypermarket.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24-163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