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https://www.autoritedelaconcurrence.fr/fr/decision-de-controle-des-concentrations/relative-la-prise-de-controle-exclusif-des-societes-alienor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21-DCC-263 of December 22, 2021  </w:t>
        <w:br/>
        <w:t xml:space="preserve">regarding the exclusive control acquisition of the companies A’liénor and Sanef  </w:t>
        <w:br/>
        <w:t xml:space="preserve">Aquitaine by the company Eiffage  </w:t>
        <w:br/>
        <w:t xml:space="preserve">The Competition Authority,  </w:t>
        <w:br/>
        <w:t xml:space="preserve">Having regard to the notification file sent to the mergers department on October 1, 2021, declared  </w:t>
        <w:br/>
        <w:t xml:space="preserve">complete on November 18, 2021, concerning the exclusive control acquisition of the companies A’liénor and  </w:t>
        <w:br/>
        <w:t xml:space="preserve">Sanef Aquitaine by the company Eiffage, formalized by a purchase agreement dated  </w:t>
        <w:br/>
        <w:t xml:space="preserve">September 30, 2021, and a purchase promise dated the same day;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acquisition of exclusive control of the companies A’liénor and Sanef  </w:t>
        <w:br/>
        <w:t xml:space="preserve">Aquitaine by the company Eiffage. It constitutes a concentration within the meaning of Article L. 430-1  </w:t>
        <w:br/>
        <w:t xml:space="preserve">of the Commercial Code. The markets concerned by the operation are the markets for the awarding  </w:t>
        <w:br/>
        <w:t xml:space="preserve">of toll highway concessions, the operation of toll highways, highway works, the awarding of  </w:t>
        <w:br/>
        <w:t xml:space="preserve">sub-concessions for related services, and the operation of services related to the operation of toll highways as well as electrical engineering. Given  </w:t>
        <w:br/>
        <w:t xml:space="preserve">the revenues generated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21-217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