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https://www.autoritedelaconcurrence.fr/fr/decision-de-controle-des-concentrations/relative-la-prise-de-controle-exclusif-des-societes-allians</w:t>
      </w:r>
    </w:p>
    <w:p>
      <w:r>
        <w:t>Pages translated : 3</w:t>
      </w:r>
    </w:p>
    <w:p/>
    <w:p>
      <w:r>
        <w:rPr>
          <w:b/>
        </w:rPr>
        <w:t>[Pages 1–3]</w:t>
      </w:r>
    </w:p>
    <w:p>
      <w:r>
        <w:t xml:space="preserve">FRENCH REPUBLIC  </w:t>
        <w:br/>
        <w:t xml:space="preserve">Decision No. 16-DCC-209 of December 13, 2016  </w:t>
        <w:br/>
        <w:t xml:space="preserve">regarding the exclusive control of the companies Allian’s Car, GDS Automobiles, Behra Morangis Atomobiles, Behra Orléans Nord SA and Behra Orléans Sud SA by Groupe Parot  </w:t>
        <w:br/>
        <w:t xml:space="preserve">The Competition Authority,  </w:t>
        <w:br/>
        <w:t xml:space="preserve">Having regard to the notification file submitted in full to the merger service on November 8, 2016, regarding the exclusive control of the companies Allian’s Car, GDS Automobiles, Behra Morangis Atomobiles, Behra Orléans Nord SA and Behra Orléans Sud SA by Groupe Parot, formalized by a transfer protocol dated August 4, 2016;  </w:t>
        <w:br/>
        <w:t xml:space="preserve">Having regard to Book IV of the Commercial Code relating to price freedom and competition, and in particular its Articles L. 430-1 to L. 430-7;  </w:t>
        <w:br/>
        <w:t xml:space="preserve">Adopts the following decision:  </w:t>
        <w:br/>
        <w:t xml:space="preserve">I. The companies concerned and the operation  </w:t>
        <w:br/>
        <w:t xml:space="preserve">1. Groupe Parot is a simplified joint-stock company under French law, controlled by the Parot family. Groupe Parot is active in the sector of the distribution of new and used motor vehicles and the distribution of spare parts and maintenance and repair services for motor vehicles. It operates car dealerships of the Ford, Mazda, BMW, and Mini brands located in Brive (19), Tulle (19), Bergerac (24), Sarlat (24), Trelissac (24), Langon (33), Arveyres (33), Angoulême (16), Cahors (46), and Limoges (87). Groupe Parot also operates industrial vehicle dealerships under the Iveco and Man brands.  </w:t>
        <w:br/>
        <w:t xml:space="preserve">2. The companies Allian’s Car, GDS Automobiles, Behra Morangis Atomobiles, Behra Orléans Nord SA and Behra Orléans Sud SA (hereinafter "the target companies") are subsidiaries of the Behra group controlled by the Behra family. These companies operate seven Ford brand car dealerships in the departments of Essonne (91), Loiret (45), and Loir-et-Cher (41).  </w:t>
        <w:br/>
        <w:t xml:space="preserve">3. Under the transfer protocol dated August 4, 2016, Groupe Parot will acquire 100% of the capital of the target companies. As it results in the exclusive control of the target companies by Groupe Parot, the notified operation constitutes a concentration within the meaning of Article L. 430-1 of the Commercial Code.  </w:t>
        <w:br/>
        <w:t xml:space="preserve">4. The companies concerned together achieve a total worldwide turnover of more than 75 million euros (Groupe Parot: 1.9 billion euros for the last fiscal year ended December 31, 2015; the target companies: 90 million euros for the same fiscal year). The companies concerned achieve in France in the automotive distribution sector a turnover exceeding 15 million euros (Groupe Parot: 1.9 billion euros for the last fiscal year ended December 31, 2015; the target companies: 90 million euros for the same fiscal year). Given these figures, the operation does not fall under the jurisdiction of the European Union. However, the control thresholds mentioned in point II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A. DEFINITION OF PRODUCT AND SERVICE MARKETS  </w:t>
        <w:br/>
        <w:t xml:space="preserve">5. In the automotive distribution sector, the decision-making practice distinguishes (i) the distribution of new motor vehicles intended for private customers; (ii) the distribution of new motor vehicles intended for professional customers; (iii) the distribution of commercial motor vehicles; (iv) the distribution of used motor vehicles; (v) the distribution of spare parts and automotive accessories; (vi) the distribution of maintenance and repair services for motor vehicles; (vii) the distribution of rental services.  </w:t>
        <w:br/>
        <w:t xml:space="preserve">6. There is no need to challenge these definitions during the examination of the present operation.  </w:t>
        <w:br/>
        <w:t xml:space="preserve">7. The companies concerned are simultaneously present in all of these markets except for the market for rental services.  </w:t>
        <w:br/>
        <w:t xml:space="preserve">B. GEOGRAPHICAL DEFINITION OF MARKETS  </w:t>
        <w:br/>
        <w:t xml:space="preserve">8. Regarding the retail sale of new or used motor vehicles, spare parts and automotive accessories, and maintenance and repair services for motor vehicles, the decision-making practice adopts a local definition, with the analysis generally conducted at the departmental level.  </w:t>
        <w:br/>
        <w:t xml:space="preserve">9. Furthermore, in operations where the acquirer is active in the neighboring departments of those in which the target is present, the Authority also conducts a competitive analysis over a market extended to all of these departments.  </w:t>
        <w:br/>
        <w:t xml:space="preserve">10. In the present case, the parties are not active in the same departments nor in neighboring departments.  </w:t>
        <w:br/>
        <w:t xml:space="preserve">III. Competitive analysis  </w:t>
        <w:br/>
        <w:t xml:space="preserve">11. The parties are not active in the same departments nor in neighboring departments, therefore the operation does not result in any overlap of activity.  </w:t>
        <w:br/>
        <w:t xml:space="preserve">12. Given the above elements, the operation is not likely to harm competition in the relevant markets.  </w:t>
        <w:br/>
        <w:t xml:space="preserve">DECIDES  </w:t>
        <w:br/>
        <w:t xml:space="preserve">Sole Article: The operation notified under number 16-241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