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https://www.autoritedelaconcurrence.fr/fr/decision-de-controle-des-concentrations/relative-la-prise-de-controle-exclusif-des-societes-alma</w:t>
      </w:r>
    </w:p>
    <w:p>
      <w:r>
        <w:t>Pages translated : 2</w:t>
      </w:r>
    </w:p>
    <w:p/>
    <w:p>
      <w:r>
        <w:rPr>
          <w:b/>
        </w:rPr>
        <w:t>[Pages 1–2]</w:t>
      </w:r>
    </w:p>
    <w:p>
      <w:r>
        <w:t xml:space="preserve">FRENCH REPUBLIC  </w:t>
        <w:br/>
        <w:t xml:space="preserve">Decision No. 17-DCC-200 of November 29, 2017  </w:t>
        <w:br/>
        <w:t xml:space="preserve">regarding the exclusive control acquisition of Alma Expansion and Alma Patrimoine by Antin Infrastructure Partners  </w:t>
        <w:br/>
        <w:t xml:space="preserve">The Competition Authority,  </w:t>
        <w:br/>
        <w:t xml:space="preserve">Having regard to the complete notification file submitted to the mergers department on November 3, 2017, concerning the exclusive control acquisition of Alma Expansion and Alma Patrimoine by the funds managed by Antin Infrastructure Partners, formalized by a unilateral purchase promise dated October 12,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funds managed by Antin Infrastructure Partners of the exclusive control of Alma Expansion and Alma Patrimoine and their subsidiaries, which are active in the sectors of providing diagnostics and hospital care, follow-up and rehabilitation care, home hospitalization, and comfort aesthetic surgery. This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17-223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