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https://www.autoritedelaconcurrence.fr/fr/decision-de-controle-des-concentrations/relative-la-prise-de-controle-exclusif-des-societes-amds-et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18-DCC-14 of January 19, 2018  </w:t>
        <w:br/>
        <w:t xml:space="preserve">regarding the exclusive control acquisition of the companies AMDS and Aude Auto  </w:t>
        <w:br/>
        <w:t xml:space="preserve">Location by the company Peyrot Investissement  </w:t>
        <w:br/>
        <w:t xml:space="preserve">The Competition Authority,  </w:t>
        <w:br/>
        <w:t xml:space="preserve">Having regard to the notification file sent to the mergers department on November 27, 2017, declared  </w:t>
        <w:br/>
        <w:t xml:space="preserve">complete on January 8, 2018, concerning the exclusive control acquisition of the companies AMDS and Aude  </w:t>
        <w:br/>
        <w:t xml:space="preserve">Auto Location by the company Peyrot Investissement, formalized by a share transfer agreement dated November 10,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by Peyrot Investissement of the exclusive control of  </w:t>
        <w:br/>
        <w:t xml:space="preserve">the companies AMDS and Aude Auto Location, which operate several businesses for the distribution and  </w:t>
        <w:br/>
        <w:t xml:space="preserve">repair of motor vehicles under the Renault-Dacia brand in the department of Aude (11). This operation constitutes a concentration operation within the meaning of Article L. 430-1 of the Commercial Code. Given the turnover generated by the companies concerned, the operation does not fall under the jurisdiction of the European Union.  </w:t>
        <w:br/>
        <w:t xml:space="preserve">On the other hand,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17-263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