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https://www.autoritedelaconcurrence.fr/fr/decision-de-controle-des-concentrations/relative-la-prise-de-controle-exclusif-des-societes-arc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12-DCC-97 of July 20, 2012  </w:t>
        <w:br/>
        <w:t xml:space="preserve">regarding the exclusive control acquisition of the companies Arc Distribution France, Etablissements Callens Lesage, Francis Piffaut &amp; Fils, the GIE Domatic, and the logistics platform of Arc International France by the investment fund Mutares Holding 11  </w:t>
        <w:br/>
        <w:t xml:space="preserve">The Competition Authority,  </w:t>
        <w:br/>
        <w:t xml:space="preserve">Having regard to the complete notification file submitted to the mergers department on June 29, 2012, concerning the acquisition of the companies Arc Distribution France, Etablissements Callens Lesage, Francis Piffaut &amp; Fils, the GIE Domatic, and the logistics platform of Arc International France by the investment fund Mutares Holding 11, formalized by a share and asset acquisition agreement dated June 29,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Arc Distribution France, Etablissements Callens Lesage, Francis Piffaut &amp; Fils, the GIE Domatic, active in the sector of tableware products and the logistics platform of Arc International France, by the investment fund Mutares Holding 11. It constitutes a concentration operation within the meaning of Article L. 430-1 of the Commercial Code. Given the turnover achieved by the companies concerned, the operation does not have a community dimension. On the other hand, the control thresholds relating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12-090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