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https://www.autoritedelaconcurrence.fr/fr/decision-de-controle-des-concentrations/relative-la-prise-de-controle-exclusif-des-societes-arrive</w:t>
      </w:r>
    </w:p>
    <w:p>
      <w:r>
        <w:t>Pages translated : 8</w:t>
      </w:r>
    </w:p>
    <w:p/>
    <w:p>
      <w:r>
        <w:rPr>
          <w:b/>
        </w:rPr>
        <w:t>[Pages 1–3]</w:t>
      </w:r>
    </w:p>
    <w:p>
      <w:r>
        <w:t xml:space="preserve">FRENCH REPUBLIC  </w:t>
        <w:br/>
        <w:t xml:space="preserve">Decision No. 10-DCC-34 of April 22, 2010  </w:t>
        <w:br/>
        <w:t>regarding the exclusive control of the companies Arrivé Nutrition Animale, Arrivé Division Petfood, Arrivé Bellanné, and Cap Elevage by the Interdepartmental Cooperative of Poultry Farmers of Bocage</w:t>
      </w:r>
    </w:p>
    <w:p>
      <w:r>
        <w:t xml:space="preserve">The Competition Authority,  </w:t>
        <w:br/>
        <w:t xml:space="preserve">Having regard to the notification file submitted in full to the concentrations service on March 30, 2010, regarding the exclusive control of the companies Arrivé Nutrition Animale, Arrivé Division Petfood, Arrivé Bellanné, and Cap Elevage by the Interdepartmental Cooperative of Poultry Farmers of Bocage;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Interdepartmental Cooperative of Poultry Farmers of Bocage (hereinafter "CIAB") is an agricultural cooperative with variable capital bringing together 308 poultry and rabbit farmers mainly established in the departments of Vendée and Deux-Sèvres. The CIAB collects live poultry and rabbits from its cooperative members and markets them. To a lesser extent, it is also present downstream through its majority stake in a slaughterhouse located in Chaize-Le-Vicomte (Vendée). In 2008, the CIAB achieved a total turnover excluding taxes of 96 million euros exclusively in France.  </w:t>
        <w:br/>
        <w:t xml:space="preserve">2. The company Arrivé SA (hereinafter "Arrivé") is a public limited company whose entire capital has been held by the LDC Group since December 16, 2009. Arrivé is active in the animal nutrition and poultry sectors. Its activity related to animal nutrition consists of three subsidiaries: Arrivé Nutrition Animale (feed for poultry, rabbits, and pigs), Arrivé Division Petfood (feed for dogs and cats), and Arrivé Bellanné (feed for cattle, sheep, goats, rabbits, and pigs). Arrivé, now LDC, exclusively controls these three subsidiaries by holding the entire capital of Arrivé Nutrition Animale, Arrivé Division Petfood, and 95% of the capital of Arrivé Bellanné, with the remaining 5% held by CIAB.  </w:t>
        <w:br/>
        <w:t xml:space="preserve">3. Additionally, CIAB and Arrivé are co-shareholders of the company SAS Cap Elevage, holding 60% and 40% respectively. Cap Elevage engages in two activities: a primary activity of purchasing and reselling chicks and other products and services useful for poultry farming (medications, gas, sanitary services...) carried out almost exclusively on behalf of CIAB farmers, and a secondary activity of trading live poultry. The statutes of Cap Elevage provide that all collective decisions, ordinary or extraordinary, are made by a two-thirds majority, except for those explicitly requiring unanimity. The president, who directs, manages, and administers the company, is "necessarily presented by the CIAB," assisted by a general director, "necessarily presented by Arrivé," who has the same powers. They sit on an orientation council alongside three representatives from CIAB and three representatives from Arrivé, which deliberates on the strategic decisions of the company by simple majority, with the president's vote not being predominant. It follows from the preceding elements that CIAB and Arrivé jointly exercise control over the company Cap Elevage prior to the operation.  </w:t>
        <w:br/>
        <w:t xml:space="preserve">4. By virtue of a transfer agreement signed on March 26, 2010, Arrivé committed to transferring to CIAB its animal nutrition activities, namely the entire capital of the companies Arrivé Nutrition Animale and Arrivé Division Petfood and 95% of the capital of the company Arrivé Bellanné. Arrivé also commits to transferring its 40% stake in the capital of Cap Elevage. All these assets constitute the target of the operation (hereinafter "the target"); it achieved a total turnover of 165 million euros excluding taxes exclusively in France in 2008.  </w:t>
        <w:br/>
        <w:t>5. Insofar as it results in the exclusive control of the companies Arrivé Nutrition Animale, Arrivé Division Petfood, Arrivé Bellanné, and Cap Elevage by CIAB, the notified operation constitutes a concentration within the meaning of Article L. 430-1 of the Commercial Code. Given the turnover of the concerned companies, it is not of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Both parties are active in the poultry and rabbit sectors.  </w:t>
        <w:br/>
        <w:t xml:space="preserve">7. In the animal nutrition markets (A), the target is present as a producer of premixes and feed that it markets to a diverse clientele (farmers affiliated with CIAB, independent farmers, hatcheries, animal feed wholesalers, DIY superstores, etc.).  </w:t>
        <w:br/>
        <w:t xml:space="preserve">8. The target is also active as a buyer of products (chicks, gas, medicines, etc.) and services (livestock health monitoring services, etc.) which it resells almost exclusively to farmers affiliated with CIAB (B).  </w:t>
        <w:br/>
        <w:t xml:space="preserve">9. Furthermore, CIAB and the target are simultaneously present in the market for the collection and sale of live poultry intended for slaughter (C).  </w:t>
        <w:br/>
        <w:t>10. Finally, the acquirer, through a slaughterhouse located in Chaize-Le-Vicomte, is solely active in the downstream markets for the collection and sale of live poultry intended for slaughter (D).</w:t>
      </w:r>
    </w:p>
    <w:p>
      <w:r>
        <w:t xml:space="preserve">A. THE MARKETS OF ANIMAL NUTRITION  </w:t>
        <w:br/>
        <w:t xml:space="preserve">1. MARKETS OF PRODUCTS  </w:t>
        <w:br/>
        <w:t xml:space="preserve">11. Decision-making practice distinguishes, in terms of animal nutrition, upstream markets (products used to produce animal feed) from downstream markets (feeds resulting from this production). It also makes a distinction between livestock animals and pets.  </w:t>
        <w:br/>
        <w:t xml:space="preserve">12. Upstream, the raw materials used to manufacture the feeds are generally the same (cakes, cereals, premixes) depending on the species. It is therefore not necessary to distinguish markets specific to each type of animal. However, premixes, concentrated mixtures of vitamins, trace elements, and technical additives, are distinguished from plant raw materials, cereals, and cakes (residues obtained after oil extraction from seeds or oilseeds) which they are intended to complement to obtain complete feeds.  </w:t>
        <w:br/>
        <w:t xml:space="preserve">13. Downstream, national decision-making practice distinguishes between complete feeds and mineral and nutritional compound feeds, complementary feeds composed of trace elements, macroelements, and vitamins, intended to correct deficiencies in daily complete feed rations for livestock.  </w:t>
        <w:br/>
        <w:t>14. For complete feeds, the European Commission has left the question of defining this market open by noting the existence of significant substitutability from both the supply and demand perspectives, between the different types of complete feeds.</w:t>
      </w:r>
    </w:p>
    <w:p>
      <w:r>
        <w:rPr>
          <w:b/>
        </w:rPr>
        <w:t>[Pages 4–6]</w:t>
      </w:r>
    </w:p>
    <w:p>
      <w:r>
        <w:t>The national decision-making body considered a market segmentation based on each animal species insofar as each type of feed is specific to the animal species for which it is intended. However, the minister noted that livestock feed manufacturing plants could indiscriminately produce all feeds intended for different species and that the raw materials used were generally the same.</w:t>
      </w:r>
    </w:p>
    <w:p>
      <w:r>
        <w:t>15. Regarding pet food, decision-making practice retains a segmentation by species, between dogs and cats, as well as, according to the consistency of the food, between kibble and wet food.</w:t>
      </w:r>
    </w:p>
    <w:p>
      <w:r>
        <w:t>16. In the case at hand, the target is active in the upstream market of production and marketing of premixes, in the downstream markets of feed for dogs and cats, and complete feed for poultry, rabbits, pigs, and ruminants (cattle, sheep, and goats). The acquirer is not present in these markets but purchases complete feed from the target. Only the market for complete feed will therefore be taken into account for the analysis of potential vertical effects of the operation.</w:t>
      </w:r>
    </w:p>
    <w:p>
      <w:r>
        <w:t>2. GEOGRAPHICAL DELIMITATION</w:t>
      </w:r>
    </w:p>
    <w:p>
      <w:r>
        <w:t>17. Decision-making practice has noted, while leaving the question open, that the downstream markets for the marketing of complete compound feeds were likely of a local dimension, primarily due to the transportation costs of these feeds.</w:t>
      </w:r>
    </w:p>
    <w:p>
      <w:r>
        <w:t>B. PRODUCTS AND SERVICES FOR POULTRY FARMING</w:t>
      </w:r>
    </w:p>
    <w:p>
      <w:r>
        <w:t>18. The target purchases and resells products such as "day-old animals" (chicks), veterinary medicines, or gas, as well as services (breeding technicians, veterinary consulting firms, etc.) for which it coordinates the services on behalf of farmers affiliated with the CIAB.</w:t>
      </w:r>
    </w:p>
    <w:p>
      <w:r>
        <w:t>19. In terms of agricultural supplies for farming, decision-making practice specifically analyzed the markets for animal health, and several market segmentations based on therapeutic indication, the animal species to which it is intended, or the mode of administration were considered.</w:t>
      </w:r>
    </w:p>
    <w:p>
      <w:r>
        <w:t>20. Regarding the marketing of day-old animals by hatcheries, it should be noted that this is a specific link in the poultry supply chain and that this activity could, depending on the species considered, constitute one or more relevant markets.</w:t>
      </w:r>
    </w:p>
    <w:p>
      <w:r>
        <w:t>21. Concerning other products and services for farming, the question of the potential existence of a market for agricultural supplies of farming equipment has been raised while leaving the question open.</w:t>
      </w:r>
    </w:p>
    <w:p>
      <w:r>
        <w:t>22. In the case at hand, it should be noted that, prior to the operation, this activity of the target, which is already under the joint control of the CIAB, is carried out almost exclusively for the farmers affiliated with the CIAB. Consequently, the operation is not likely to significantly alter the structure of these markets, which do not need to be more precisely delineated or specifically analyzed.</w:t>
      </w:r>
    </w:p>
    <w:p>
      <w:r>
        <w:t>C. THE MARKET FOR THE COLLECTION AND SALE OF LIVE ANIMALS INTENDED FOR SLAUGHTER</w:t>
      </w:r>
    </w:p>
    <w:p>
      <w:r>
        <w:t>1. PRODUCT MARKETS</w:t>
      </w:r>
    </w:p>
    <w:p>
      <w:r>
        <w:t>23. Community decision-making practice has estimated that there is no substitutability on the supply side in the overall market for the supply of live animals: slaughter chains differ from one species to another and cannot be modified at low cost within a reasonable time frame, and it takes time for a farmer to switch from raising one species of animals to another, and this change incurs a cost. National decision-making practice has thus distinguished the market for live chickens intended for slaughter from that of live turkeys intended for slaughter. In a recent decision, the Authority found the specificity of both the demand for live chickens, turkeys, and guinea fowl, as well as the supply related to these three species, and retained as many distinct markets. In another decision, it distinguished a market for the supply of lean live ducks. Furthermore, in these two decisions, a segmentation was made between standard poultry and labeled poultry.</w:t>
      </w:r>
    </w:p>
    <w:p>
      <w:r>
        <w:t>24. In the case at hand, the CIAB and the target are simultaneously present in the market for live poultry intended for slaughter. The CIAB collects poultry from its members (turkeys and guinea fowl and chickens, labeled or not) which it markets; the target purchases poultry (turkeys, quails, standard chickens), primarily from the CIAB, which it resells to various slaughterhouses, including that of the CIAB. Thus, the activities of the parties only overlap in the markets for turkeys and standard chickens.</w:t>
      </w:r>
    </w:p>
    <w:p>
      <w:r>
        <w:t>25. The CIAB also offers live rabbits intended for slaughter. The parties consider that rabbits require specific breeding conditions, distinct from those applicable to poultry, and propose to distinguish the market for the sale and collection of live rabbits intended for slaughter. From the demand perspective, the slaughterhouses that are clients of the parties specialize in rabbit slaughter and are distinct from those for poultry. This specificity of breeding and demand for live rabbits supports the delineation of a specific market for live rabbits intended for slaughter. Finally, similarly to poultry, the parties suggest distinguishing between standard rabbits and those benefiting from a label. In the case at hand, the distinction between the collection of standard rabbits and that of labeled rabbits, live and intended for slaughter, can be left open as the conclusions of the competitive analysis would remain unchanged regardless of the assumptions made.</w:t>
      </w:r>
    </w:p>
    <w:p>
      <w:r>
        <w:t>26. In this case, only the CIAB is present in the market for live rabbits intended for slaughter.</w:t>
      </w:r>
    </w:p>
    <w:p>
      <w:r>
        <w:t>2. GEOGRAPHICAL DELIMITATION</w:t>
      </w:r>
    </w:p>
    <w:p>
      <w:r>
        <w:t>27. National decision-making practice considers that the market for the supply of live poultry has a local dimension. It has retained areas of one and a half hours around poultry slaughterhouses. Indeed, slaughterhouses are primarily located in poultry farming areas, this location allowing for the minimization of collection time and maximizing animal welfare, with a particular goal of reducing costs.</w:t>
      </w:r>
    </w:p>
    <w:p>
      <w:r>
        <w:t>28. The market for supplying slaughterhouses with rabbits should also have a local dimension. In the case at hand, however, it is not necessary for the purposes of the competitive analysis to further specify the geographical delimitation of the market for supplying slaughterhouses with rabbits.</w:t>
      </w:r>
    </w:p>
    <w:p>
      <w:r>
        <w:t>D. DOWNSTREAM MARKETS FOR THE COLLECTION AND SALE OF POULTRY</w:t>
      </w:r>
    </w:p>
    <w:p>
      <w:r>
        <w:t>29. Decision-making practice has distinguished different downstream markets for the collection of poultry: local markets for the slaughter of poultry on behalf of third parties (segmented by species and labeling of poultry), national markets for fresh poultry meat (segmented by species and labeling of poultry, distribution channel), and national markets for processed products made from poultry meat (segmented by type of processed product, distribution channel, and commercial positioning), for which it has considered different segmentations.</w:t>
      </w:r>
    </w:p>
    <w:p>
      <w:r>
        <w:t>30. The acquirer, through a slaughterhouse located in Chaize-Le-Vicomte, is solely active in the downstream markets for the collection and sale of poultry through activities of slaughtering, packaging, cutting, processing, freezing, and preparing processed and cooked products made from poultry, which will be taken into account for the analysis of vertical effects.</w:t>
      </w:r>
    </w:p>
    <w:p>
      <w:r>
        <w:t>III. Competitive Analysis</w:t>
      </w:r>
    </w:p>
    <w:p>
      <w:r>
        <w:t>A. HORIZONTAL EFFECTS</w:t>
      </w:r>
    </w:p>
    <w:p>
      <w:r>
        <w:t>31. The operation only results in horizontal overlaps in the markets for the collection and sale of standard chickens and turkeys.</w:t>
      </w:r>
    </w:p>
    <w:p>
      <w:r>
        <w:rPr>
          <w:b/>
        </w:rPr>
        <w:t>[Pages 7–8]</w:t>
      </w:r>
    </w:p>
    <w:p>
      <w:r>
        <w:t>32. The farmers, suppliers of the CIAB and the target, are all located in the departments of Vendée, Maine-et-Loire, Deux-Sèvres, and Loire-Atlantique (predominantly in Vendée and Deux-Sèvres).</w:t>
      </w:r>
    </w:p>
    <w:p>
      <w:r>
        <w:t>33. In these four departments, for the supply of slaughterhouses with standard chicken or turkey, the market share of the CIAB, prior to the operation, did not exceed 40% in any department: it reaches 37% for turkey and 26% for standard chickens in Vendée, and is below 25% in all other cases. The target represents less than 1% in volume of the standard chicken or turkey segments in each of these departments. Furthermore, the target was already sourcing over 70% from the CIAB before the operation.</w:t>
      </w:r>
    </w:p>
    <w:p>
      <w:r>
        <w:t>34. Regardless of the area of analysis chosen, whether departmental or broader, the addition of market shares is therefore negligible, and the operation is not likely to harm competition through potential horizontal effects.</w:t>
      </w:r>
    </w:p>
    <w:p>
      <w:r>
        <w:t>B. VERTICAL EFFECTS</w:t>
      </w:r>
    </w:p>
    <w:p>
      <w:r>
        <w:t>35. The operation will allow the CIAB, already present in the markets for the supply of live poultry and rabbits intended for slaughter, to enter the market for complete feeds intended for these same species. It is therefore necessary to verify that the operation is not likely to harm competition through a locking-in of these markets: locking in inputs for the target's farmer clients and locking in outlets for the target's competitors.</w:t>
      </w:r>
    </w:p>
    <w:p>
      <w:r>
        <w:t>36. The Competition Authority recalled in its guidelines that "if the economic operations between the cooperative and its members cannot be considered as taking place within the same legal and economic unit, they cannot be identified with the links uniting the cooperative and third parties either. This particularity must be taken into account in the competitive analysis of operations involving one or more cooperatives." It is therefore necessary to distinguish, for the target's clients, between the case of farmers affiliated with the CIAB and other farmers.</w:t>
      </w:r>
    </w:p>
    <w:p>
      <w:r>
        <w:t>37. Farmers affiliated with the CIAB, under the cooperative's statutes, are required to sell all of their marketable production to the cooperative. Moreover, long-standing commercial ties have been formalized between the CIAB and the current shareholder of the target specifying that poultry farmer cooperators would source exclusively from the target for their animal feed needs. Thus, the operation does not alter the competitive situation for CIAB farmers.</w:t>
      </w:r>
    </w:p>
    <w:p>
      <w:r>
        <w:t>38. Regarding non-affiliated farmers, it is unlikely that the CIAB could compel them to source animal feed from it, or to supply it with poultry and rabbits. Indeed, the CIAB sources exclusively from its cooperative members for rabbits, and almost exclusively for poultry: the CIAB will therefore not be able to leverage its position in these markets. Conversely, the positions of the future entity in the animal feed market for poultry (10.4% market share in Pays de la Loire, 4.8% in Poitou-Charentes) and rabbits (17.1% market share in Pays de la Loire, 16.6% in Poitou-Charentes) are insufficient to allow it to exert market power over independent farmers.</w:t>
      </w:r>
    </w:p>
    <w:p>
      <w:r>
        <w:t>39. Furthermore, since CIAB farmers were already sourcing exclusively from the target for animal feed before the operation, this will not have any effect on the outlets of the target's competing suppliers.</w:t>
      </w:r>
    </w:p>
    <w:p>
      <w:r>
        <w:t>40. Finally, it should be noted that the CIAB purchases poultry for its slaughterhouse from the target and that, given the low addition of market shares in the poultry market that the operation provides to the CIAB, it is not likely to have anti-competitive vertical effects in the slaughter markets.</w:t>
      </w:r>
    </w:p>
    <w:p>
      <w:r>
        <w:t>41. The operation is therefore not likely to harm competition through vertical effects.</w:t>
      </w:r>
    </w:p>
    <w:p>
      <w:r>
        <w:t>DECIDES</w:t>
      </w:r>
    </w:p>
    <w:p>
      <w:r>
        <w:t>Single Article: The operation notified under number 10-0012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