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https://www.autoritedelaconcurrence.fr/fr/decision-de-controle-des-concentrations/relative-la-prise-de-controle-exclusif-des-societes-auto</w:t>
      </w:r>
    </w:p>
    <w:p>
      <w:r>
        <w:t>Pages translated : 2</w:t>
      </w:r>
    </w:p>
    <w:p/>
    <w:p>
      <w:r>
        <w:rPr>
          <w:b/>
        </w:rPr>
        <w:t>[Pages 1–2]</w:t>
      </w:r>
    </w:p>
    <w:p>
      <w:r>
        <w:t xml:space="preserve">FRENCH REPUBLIC  </w:t>
        <w:br/>
        <w:t xml:space="preserve">Decision No. 17-DCC-182 of November 2, 2017  </w:t>
        <w:br/>
        <w:t xml:space="preserve">regarding the exclusive control acquisition of the companies Auto Expo Villeneuve d’Ascq and Auto Expo Sequedin by the company Holding Toys Investissements  </w:t>
        <w:br/>
        <w:t xml:space="preserve">The Competition Authority,  </w:t>
        <w:br/>
        <w:t xml:space="preserve">Having regard to the complete notification file submitted to the mergers department on October 12, 2017, concerning the exclusive control acquisition of the companies Auto Expo Villeneuve d’Ascq and Auto Expo Sequedin by the company Holding Toys Investissements, formalized by a letter of intent dated June 29,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Holding Toys Investissements of the exclusive control of the companies Auto Expo Villeneuve d’Ascq and Auto Expo Sequedin, which are active in the sectors of distribution and repair of Toyota brand motor vehicles in the department of Nord (59).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17-218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