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https://www.autoritedelaconcurrence.fr/fr/decision-de-controle-des-concentrations/relative-la-prise-de-controle-exclusif-des-societes-avenir</w:t>
      </w:r>
    </w:p>
    <w:p>
      <w:r>
        <w:t>Pages translated : 6</w:t>
      </w:r>
    </w:p>
    <w:p/>
    <w:p>
      <w:r>
        <w:rPr>
          <w:b/>
        </w:rPr>
        <w:t>[Pages 1–3]</w:t>
      </w:r>
    </w:p>
    <w:p>
      <w:r>
        <w:t>FRENCH REPUBLIC</w:t>
        <w:br/>
        <w:t>Decision No. 15-DCC-84 of July 8, 2015</w:t>
        <w:br/>
        <w:t>regarding the exclusive control of the companies Avenir Danton Défense and Avenir Grande Armée by the company Gecina</w:t>
        <w:br/>
        <w:t>The Competition Authority,</w:t>
        <w:br/>
        <w:t>Having regard to the notification file submitted in full to the merger service on June 3, 2015, regarding the exclusive control of the companies Avenir Danton Défense and Avenir Grande Armée by the company Gecina, formalized by a promise of transfer of shares and guarantee under suspensive conditions dated June 2, 2015;</w:t>
      </w:r>
    </w:p>
    <w:p>
      <w:r>
        <w:t>Having regard to Book IV of the Commercial Code relating to the freedom of prices and competition, and in particular its Articles L. 430-1 to L. 430-10;</w:t>
      </w:r>
    </w:p>
    <w:p>
      <w:r>
        <w:t>Adopts the following decision:</w:t>
      </w:r>
    </w:p>
    <w:p>
      <w:r>
        <w:t>I. The companies concerned and the operation</w:t>
        <w:br/>
        <w:t>1. Gecina is a public limited company at the head of the Gecina group. The latter is active in the real estate services sector, particularly in the management of real estate assets and also manages parking facilities. Gecina is 29.83% owned by the Blackstone and Ivanhoé Cambridge groups1, 13.37% by Crédit Agricole Assurance Predica, 9.7% by Norges Bank, as well as by numerous other shareholders who each hold less than 5% of Gecina's capital. It follows from this capital distribution as well as the statutes of Gecina that it is not controlled by any of its shareholders.</w:t>
      </w:r>
    </w:p>
    <w:p>
      <w:r>
        <w:t>2. The companies Avenir Danton Défense and Avenir Grande Armée are exclusively controlled by the real estate investment company with variable capital Lutiq (hereinafter, "SPPICAV Lutiq"). Avenir Danton Défense is engaged in the management for its own account of a real estate complex located at La Défense, comprising (i) the T1 Tower, which is a real estate asset exclusively for office use, with an area of 67,380 m², (ii) Building B, a real estate asset exclusively for office use with an area of 21,179 m², and (iii) the Jacques Cartier parking lot, which includes 485 parking spaces. This real estate complex is currently mainly leased to the GDF-Suez group for a total rent of [...] euros excluding taxes or charges. Avenir Grande Armée's activity is the management for its own account of a real estate complex located at 75, avenue de la Grande Armée in Paris, which includes (i) a real estate asset for office use with a rental area of 33,662 m² and (ii) a parking lot with 564 parking spaces. This real estate complex is currently leased to Peugeot SA for a total rent of [...] euros excluding taxes or charges.</w:t>
      </w:r>
    </w:p>
    <w:p>
      <w:r>
        <w:t>3. Under the terms of the promise of transfer of shares and guarantee under suspensive conditions dated June 2, 2015, Gecina will acquire 100% of the shares of the company Avenir Danton Défense and the company Avenir Grande Armée.</w:t>
      </w:r>
    </w:p>
    <w:p>
      <w:r>
        <w:t>4. The acquisition operations of the exclusive control of Avenir Danton Défense, on the one hand, and Avenir Grande Armée, on the other hand, by Gecina are interdependent operations, in that they are formalized by a single sale promise, which provides that they must be carried out simultaneously and that they are linked by reciprocal conditionality. Indeed, Article 2 of the promise of transfer stipulates that the transfer of shares of the two target companies is indivisible and that "in the event that for any reason the transfer of all or part of the shares of either of the companies proves impossible, the sellers shall not be obliged to proceed with the transfer of the other shares; the same shall apply to the buyer." These operations, which result in the acquisition of control of the companies Avenir Danton Défense and Avenir Grande Armée by Gecina, therefore constitute a single concentration operation within the meaning of Article L.430-1 of the Commercial Code2.</w:t>
      </w:r>
    </w:p>
    <w:p>
      <w:r>
        <w:t>5. The companies concerned have jointly achieved a consolidated turnover excluding taxes worldwide of more than 150 million euros in the last closed financial year (Gecina: 571 million euros for the financial year ending December 31, 2014; target companies: [...] euros for the same financial year). Each of these companies has achieved, in France, a turnover exceeding 50 million euros (Gecina: 566.6 million euros for the financial year ending December 31, 2014; target companies: [...] euros for the same financial year). The control thresholds mentioned in I of Article L. 430-2 of the Commercial Code are therefore exceeded. Given these turnover figures, the operation does not fall under the jurisdiction of the European Union. The concentration is thus subject to the provisions of Articles L. 430-3 and following of the Commercial Code relating to economic concentration.</w:t>
      </w:r>
    </w:p>
    <w:p>
      <w:r>
        <w:t>II. Delimitation of the relevant markets</w:t>
        <w:br/>
        <w:t>6. The operation results in an overlap of activities of Gecina and the target companies in the real estate services sector as well as in the parking management sector.</w:t>
      </w:r>
    </w:p>
    <w:p>
      <w:r>
        <w:t>2 See points 60 to 63 of the guidelines of the Competition Authority relating to the control of concentrations, which refer to points 38 and following of the consolidated communication of the Commission, which specify that "multiple operations constitute a single concentration operation as long as they are interdependent, in the sense that one operation would not have been carried out without the other." Operations may be considered legally linked when the agreements themselves are linked by reciprocal conditionality. However, it cannot be excluded that elements demonstrating that, economically, the operations cannot be carried out one without the other are taken into account. Thus, "the fact that the agreements are concluded simultaneously is one of the essential elements of interdependence."</w:t>
      </w:r>
    </w:p>
    <w:p>
      <w:r>
        <w:t>A. MARKETS FOR PRODUCTS AND SERVICES</w:t>
        <w:br/>
        <w:t>1. REAL ESTATE SERVICES MARKETS</w:t>
        <w:br/>
        <w:t>7. Decision-making practice has considered, while leaving the question open, different segmentations in the real estate sector3 according to (i) the recipients of the services (individuals or businesses), (ii) the pricing method (free residential real estate, social housing, or assisted intermediate housing), (iii) the type of activity conducted in the premises (offices, commercial premises, and other activity premises), and (iv) the nature of the services or goods offered.</w:t>
      </w:r>
    </w:p>
    <w:p>
      <w:r>
        <w:t>8. Regarding segmentation according to the nature of the services or goods offered, decision-making practice4 has considered distinguishing: (i) real estate development, which includes construction and sale activities of real estate; (ii) management of real estate assets for its own account; (iii) management of real estate assets for third parties; (iv) administration of real estate, which covers the activities of managing buildings on behalf of owners and can be segmented between rental management and co-ownership management; (v) real estate expertise; (vi) real estate consulting; and (vii) intermediation in real estate transactions, for which intermediation in purchase/sale operations is distinguished from intermediation in rental operations.</w:t>
      </w:r>
    </w:p>
    <w:p>
      <w:r>
        <w:t>9. There is no reason to challenge these segmentations during the examination of the present operation.</w:t>
      </w:r>
    </w:p>
    <w:p>
      <w:r>
        <w:t>10. In this case, the parties to the operation are both present in the market for the ownership and management of real estate assets for their own account for office use.</w:t>
      </w:r>
    </w:p>
    <w:p>
      <w:r>
        <w:t>2. THE PARKING MANAGEMENT MARKET</w:t>
        <w:br/>
        <w:t>11. Decision-making practice5 has defined the market for parking management and considers that it can be segmented according to the type of parking6: a distinction must be made between public paid parking and private company or residential parking. French decision-making practice7 also distinguishes within the public paid parking market between surface public parking spaces and underground parking spaces.</w:t>
      </w:r>
    </w:p>
    <w:p>
      <w:r>
        <w:t>3 See in particular the decisions of the Competition Authority No. 14-DCC-176 of December 9, 2014, regarding the joint control of a real estate complex for office use to be constructed by CNP Assurances and Sogécap, and No. 11-DCC-138 of September 30, 2011, regarding the exclusive control by Altarea of the company Urbat Promotion, as well as the letter from the Minister of Economy, Industry and Employment C2008-79 of August 22, 2008, to the boards of the companies CDC and Eurosic, regarding a concentration in the real estate sector. See also the European Commission decision COMP/M.3370 - BNP Paribas / ARI of March 9, 2004.</w:t>
      </w:r>
    </w:p>
    <w:p>
      <w:r>
        <w:t>4 See in particular the aforementioned decisions No. 14-DCC-176 and No. 11-DCC-138 as well as decision No. 10-DCC-13 of January 29, 2010, regarding the exclusive control by Icade S.A. of Compagnie la Lucette SA.</w:t>
      </w:r>
    </w:p>
    <w:p>
      <w:r>
        <w:t>5 See in particular the decisions of the Competition Authority No. 11-DCC-193 of December 22, 2011, regarding the joint control by Caisse des Dépôts et Consignations and CNP Assurances of the office building "Le Farman," No. 10-DCC-02 of January 12, 2010, regarding the joint control of the companies Keolis and Effia by the companies SNCF-Participations and Caisse de Dépôt et Placement du Québec, as well as the European Commission decision No. COMP/M.2825 of July 9, 2002, Fortis AG SA / Bernheim-Comofi SA.</w:t>
      </w:r>
    </w:p>
    <w:p>
      <w:r>
        <w:t>6 See in particular the European Commission Decision M. 2825 of July 9, 2002, Fortis AG SA/Bernheim Comofi SA.</w:t>
      </w:r>
    </w:p>
    <w:p>
      <w:r>
        <w:t>7 See in particular the Decision of the Competition Authority No. 10-DCC-02 regarding the joint control of the companies Keolis and Effia by the companies SNCF-Participation and Caisse des Dépôts et Placement du Québec, as well as the opinion of the Competition Council No. 01-A-08 of June 5, 2001, regarding the acquisition of the GTM group by Vinci.</w:t>
      </w:r>
    </w:p>
    <w:p>
      <w:r>
        <w:rPr>
          <w:b/>
        </w:rPr>
        <w:t>[Pages 4–6]</w:t>
      </w:r>
    </w:p>
    <w:p>
      <w:r>
        <w:t>12. There is no reason to challenge these segmentations during the examination of the present operation.</w:t>
      </w:r>
    </w:p>
    <w:p>
      <w:r>
        <w:t>13. In this case, part of the parking spaces in the Jacques Cartier parking lot at La Défense, managed by the company Avenir Danton Défense, is open to the public, and Gecina manages a parking facility open to the public, located at quai de la Râpée in Paris. Gecina and Avenir Danton Défense are therefore simultaneously present in the market for the management of paid public parking facilities.</w:t>
      </w:r>
    </w:p>
    <w:p>
      <w:r>
        <w:t>B. GEOGRAPHICAL MARKETS</w:t>
      </w:r>
    </w:p>
    <w:p>
      <w:r>
        <w:t>1. REAL ESTATE SERVICES MARKETS</w:t>
      </w:r>
    </w:p>
    <w:p>
      <w:r>
        <w:t>14. The decisional practice8 has considered that the markets related to the real estate sector are generally of sub-national dimension, while leaving the question open. It has also contemplated a delimitation at the national level for the markets of real estate services intended for businesses when investment operations are carried out by large investors9.</w:t>
      </w:r>
    </w:p>
    <w:p>
      <w:r>
        <w:t>15. In this case, the parties to the operation are both active in the Île-de-France region, in Paris (75) and in the Hauts-de-Seine department (92). In this regard, the decisional practice10 has noted that "the Paris region has particular properties of continuity of urban areas. Indeed, there is a vast, highly urbanized, and homogeneous area covering most of Île-de-France, served by a comprehensive transport network; residents are always able to arbitrate between different parts of the region. This substitutability leads to a convergence of price levels. Therefore, the regional level is the most appropriate for competitive analysis"11. In this case, the parties have provided market share estimates at the regional, departmental, and city levels of Paris.</w:t>
      </w:r>
    </w:p>
    <w:p>
      <w:r>
        <w:t>16. The question of the exact delimitation of the relevant markets can, however, be left open as the conclusions of the competitive analysis remain unchanged regardless of the delimitations retained.</w:t>
      </w:r>
    </w:p>
    <w:p>
      <w:r>
        <w:t>8 See in particular the decisions of the Competition Authority n°10-DCC-13 mentioned above and n°09-DCC-16 of June 22, 2009, regarding the merger between the Caisse d’Épargne and Banque populaire groups, as well as the letter from the Minister of Economy, Finance and Industry dated November 25, 2005, to the boards of the company Foncière des régions, regarding a concentration in the real estate sector. See also the decisions of the European Commission COMP/M.3370 - BNP Paribas / ARI of March 9, 2004, and COMP/M.2825 of July 9, 2002, Fortis AG SA / Bernheim-Comofi SA.</w:t>
      </w:r>
    </w:p>
    <w:p>
      <w:r>
        <w:t>9 See in particular the decisions of the Competition Authority n°09-DCC-16 mentioned above and n°10-DCC-112 of September 17, 2010, regarding the joint control by Prédica and Altaréa of the company Alta Marigny Carré des Soies.</w:t>
      </w:r>
    </w:p>
    <w:p>
      <w:r>
        <w:t>10 See in particular the decision of the Competition Authority n°10-DCC-13 mentioned above and the letter from the Minister of Economy, Finance and Industry C2006-151 of January 10, 2007, to the board of the Société nationale immobilière group, regarding a concentration in the sector of development and management of real estate parks primarily for residential purposes.</w:t>
      </w:r>
    </w:p>
    <w:p>
      <w:r>
        <w:t>11 See the decisions of the Competition Authority n°14-DCC-67 of May 19, 2014, regarding the exclusive control of the Société de la Tour Eiffel by the company Mutuelle du Bâtiment et des Travaux Publics, and n°14-DCC-103 of July 10, 2014, regarding the exclusive control of SIIC de Paris by Eurosic.</w:t>
      </w:r>
    </w:p>
    <w:p>
      <w:r>
        <w:t>2. THE MARKET FOR PARKING FACILITY MANAGEMENT</w:t>
      </w:r>
    </w:p>
    <w:p>
      <w:r>
        <w:t>17. The decisional practice12 has not pronounced on the precise geographical dimension of the markets for parking facility management, and in particular the market for the management of paid public parking facilities.</w:t>
      </w:r>
    </w:p>
    <w:p>
      <w:r>
        <w:t>18. In this case, the question of the exact delimitation of the market for the management of paid public parking facilities can be left open as the conclusions of the competitive analysis remain unchanged regardless of the delimitations retained. The competitive analysis will in this case be conducted at the regional level, which constitutes the most conservative assumption.</w:t>
      </w:r>
    </w:p>
    <w:p>
      <w:r>
        <w:t>III. Competitive Analysis</w:t>
      </w:r>
    </w:p>
    <w:p>
      <w:r>
        <w:t>19. In the market for the ownership and management of real estate assets for its own account for office use, the cumulative market share of the parties is less than 4%, regardless of the geographical dimension retained. Furthermore, the market for the management and ownership for its own account of real estate assets for office use in Île-de-France is characterized by its highly fragmented nature. Indeed, many operators are active there, such as real estate companies, including listed real estate investment companies, as well as insurance companies, investment funds, or banks.</w:t>
      </w:r>
    </w:p>
    <w:p>
      <w:r>
        <w:t>20. Moreover, in the market for parking facility management, the activities of the parties do not overlap at the departmental level. In Île-de-France, their cumulative market share is less than 1.6%.</w:t>
      </w:r>
    </w:p>
    <w:p>
      <w:r>
        <w:t>21. Therefore, the operation is not likely to harm competition in the market for the management of real estate assets for its own account for office use, nor in the market for the management of paid public parking facilities.</w:t>
      </w:r>
    </w:p>
    <w:p>
      <w:r>
        <w:t>12 See in particular the decisions of the Competition Authority n°11-DCC-193 and n°10-DCC-02 mentioned above, as well as the decisions of the European Commission n°COMP/M.4613 of April 20, 2007, Eurazeo SA / Apcoa Parking Holdings GmbH.</w:t>
      </w:r>
    </w:p>
    <w:p>
      <w:r>
        <w:t>DECIDES</w:t>
      </w:r>
    </w:p>
    <w:p>
      <w:r>
        <w:t>Sole Article: The operation notified under number 15-090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