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https://www.autoritedelaconcurrence.fr/fr/decision-de-controle-des-concentrations/relative-la-prise-de-controle-exclusif-des-societes-azaydis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20-DCC-58 of April 17, 2020  </w:t>
        <w:br/>
        <w:t xml:space="preserve">regarding the exclusive control acquisition of the companies Azaydis and Solandis  </w:t>
        <w:br/>
        <w:t xml:space="preserve">by the company Amidis et Compagnie  </w:t>
        <w:br/>
        <w:t xml:space="preserve">The Competition Authority,  </w:t>
        <w:br/>
        <w:t xml:space="preserve">Having regard to the complete notification file submitted to the mergers department on March 30, 2020,  </w:t>
        <w:br/>
        <w:t xml:space="preserve">concerning the exclusive control acquisition by the company Amidis et Compagnie of the companies Azaydis  </w:t>
        <w:br/>
        <w:t xml:space="preserve">and Solandis, and formalized by a share transfer agreement dated December 20,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submitted during the investigation by the notifying party;  </w:t>
        <w:br/>
        <w:t xml:space="preserve">Adopts the following decision:  </w:t>
        <w:br/>
        <w:t xml:space="preserve">1. The notified operation consists of the exclusive control acquisition by the company Amidis et  </w:t>
        <w:br/>
        <w:t xml:space="preserve">Compagnie, a 100% subsidiary of the Carrefour group, of the companies Azaydis and Solandis, which  </w:t>
        <w:br/>
        <w:t xml:space="preserve">respectively operate a food-focused business under the Carrefour Market brand with a surface area  </w:t>
        <w:br/>
        <w:t xml:space="preserve">of 2,500 m² located in Azay-le-Rideau (37) and a food-focused business under the Carrefour Market  </w:t>
        <w:br/>
        <w:t xml:space="preserve">brand with a surface area of 3,200 m² located in Langeais (37). It constitutes a concentration operation  </w:t>
        <w:br/>
        <w:t xml:space="preserve">within the meaning of Article L. 430-1 of the Commercial Code. Given the turnover generated by the  </w:t>
        <w:br/>
        <w:t xml:space="preserve">concerned companies, the operation does not fall under the jurisdiction of the European Union. On the  </w:t>
        <w:br/>
        <w:t xml:space="preserve">other hand, the retail control thresholds mentioned in point II of Article L. 430-2 of the Commercial  </w:t>
        <w:br/>
        <w:t xml:space="preserve">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20-061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