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https://www.autoritedelaconcurrence.fr/fr/decision-de-controle-des-concentrations/relative-la-prise-de-controle-exclusif-des-societes-barbier</w:t>
      </w:r>
    </w:p>
    <w:p>
      <w:r>
        <w:t>Pages translated : 4</w:t>
      </w:r>
    </w:p>
    <w:p/>
    <w:p>
      <w:r>
        <w:rPr>
          <w:b/>
        </w:rPr>
        <w:t>[Pages 1–3]</w:t>
      </w:r>
    </w:p>
    <w:p>
      <w:r>
        <w:t xml:space="preserve">FRENCH REPUBLIC  </w:t>
        <w:br/>
        <w:t xml:space="preserve">Decision No. 14-DCC-186 of December 15, 2014  </w:t>
        <w:br/>
        <w:t>regarding the exclusive control of the companies Barbier Automobiles, Moret Automobiles, and Sure Automobiles by the company ECL</w:t>
      </w:r>
    </w:p>
    <w:p>
      <w:r>
        <w:t xml:space="preserve">The Competition Authority,  </w:t>
        <w:br/>
        <w:t xml:space="preserve">Having regard to the notification file submitted in full to the concentrations service on November 12, 2014, regarding the exclusive control of the companies Barbier Automobiles, Moret Automobiles, and Sure Automobiles by the company ECL, formalized by a transfer protocol dated October 30, 2014;  </w:t>
        <w:br/>
        <w:t xml:space="preserve">Having regard to Book IV of the Commercial Code relating to the freedom of prices and competition, and in particular its Articles L. 430-1 to L. 430-7;  </w:t>
        <w:br/>
        <w:t>Adopts the following decision:</w:t>
      </w:r>
    </w:p>
    <w:p>
      <w:r>
        <w:t xml:space="preserve">I. The companies concerned and the operation  </w:t>
        <w:br/>
        <w:t xml:space="preserve">1. ECL is a simplified joint-stock company exclusively controlled by Mr. Chopard Lallier. ECL controls several subsidiaries that operate car dealerships for the brands Peugeot, Citroën, and Kia in the Alpes-de-Haute-Provence (04), Hautes-Alpes (05), Aube (10), Côte-d’Or (21), Doubs (25), Jura (39), Haute-Marne (52), Drôme (26), Ardèche (07), Haute-Saône (70), Vaucluse (84), and Haute-Loire (43).  </w:t>
        <w:br/>
        <w:t xml:space="preserve">2. Barbier Automobiles, Moret Automobiles, and Sure Automobiles (“the target companies”) are three simplified joint-stock companies that operate Peugeot brand car dealerships respectively in the towns of Vienne (Isère (38)), Givors (Rhône-Alpes (69)), and Voiron (Isère (38)). Prior to the notified operation, these three companies were exclusively controlled by the company Suma Automobiles.  </w:t>
        <w:br/>
        <w:t>3. Under the agreement dated October 30, 2014, the company ECL will acquire almost all of the shares of the target companies.</w:t>
      </w:r>
    </w:p>
    <w:p>
      <w:r>
        <w:t xml:space="preserve">4. In that it results in the exclusive control of the companies Barbier Automobiles, Moret Automobiles, and Sure Automobiles by the company ECL, the notified operation constitutes a concentration within the meaning of Article L. 430-1 of the Commercial Code.  </w:t>
        <w:br/>
        <w:t>5. The companies concerned together achieve a total worldwide turnover of more than 75 million euros (ECL: 382 million euros for the last fiscal year ending December 31, 20131; the target companies: 72 million euros for the same fiscal year). The companies concerned achieve in France in the automotive distribution sector a turnover exceeding 15 million euros (ECL: 382 million euros for the last fiscal year ending December 31, 20132; the target companies: 72 million euros for the same fiscal year). Given these figures, the operation does not have a community dimension. However, the control thresholds mentioned in point II of Article L. 430-2 of the Commercial Code are exceeded. The present operation is therefore subject to the provisions of Articles L. 430-3 and following of the Commercial Code relating to economic concentration.</w:t>
      </w:r>
    </w:p>
    <w:p>
      <w:r>
        <w:t xml:space="preserve">II. Delimitation of the relevant markets  </w:t>
        <w:br/>
        <w:t xml:space="preserve">A. DELIMITATION OF PRODUCT AND SERVICE MARKETS  </w:t>
        <w:br/>
        <w:t xml:space="preserve">6. In the automotive distribution sector, the decisional practice2 distinguishes (i) the distribution of new passenger vehicles intended for individual customers; (ii) the distribution of new passenger vehicles intended for professional customers; (iii) the distribution of commercial vehicles; (iv) the distribution of used vehicles; (v) the distribution of spare parts and automotive accessories; (vi) the distribution of maintenance and repair services for motor vehicles; (vii) the distribution of rental services.  </w:t>
        <w:br/>
        <w:t xml:space="preserve">7. There is no need to challenge these delimitations during the examination of the present operation.  </w:t>
        <w:br/>
        <w:t>8. The companies concerned are simultaneously present in all of these markets except for the distribution of new passenger vehicles intended for professional customers.</w:t>
      </w:r>
    </w:p>
    <w:p>
      <w:r>
        <w:t xml:space="preserve">B. GEOGRAPHICAL DELIMITATION OF MARKETS  </w:t>
        <w:br/>
        <w:t xml:space="preserve">9. Regarding the retail sale of new or used motor vehicles, spare parts and automotive accessories, and maintenance and repair services for motor vehicles, the decisional practice3 adopts a local definition, with the analysis generally conducted at the departmental level.  </w:t>
        <w:br/>
        <w:t xml:space="preserve">10. Furthermore, in transactions where the purchaser is active in departments adjacent to those where the target is present, the Authority also conducts a competitive analysis on a market extended to all of these departments.  </w:t>
        <w:br/>
        <w:t>11. In the present case, the company ECL is not present in the departments of Isère (38) and Rhône-Alpes (69) where the target companies are active. However, ECL operates car dealerships in the departments of Hautes Alpes (05), Ardèche (07), and Drôme (26), which are adjacent to the department of Isère. The competitive analysis will therefore be conducted on a market encompassing Hautes Alpes (05), Ardèche (07), Drôme (26), and Isère (38).</w:t>
      </w:r>
    </w:p>
    <w:p>
      <w:r>
        <w:t xml:space="preserve">III. Competitive analysis  </w:t>
        <w:br/>
        <w:t xml:space="preserve">A. MARKETS FOR THE SALE OF VEHICLES  </w:t>
        <w:br/>
        <w:t xml:space="preserve">12. Regarding the calculation of market shares, the decisional practice4 uses as an indicator the ratio between the sales of new vehicles made by the parties in the departments concerned by the operation and the total registrations of new vehicles recorded in those same departments by the prefectures.  </w:t>
        <w:br/>
        <w:t xml:space="preserve">13. In a geographical area encompassing the four adjacent departments where the parties operate dealerships (Hautes Alpes (05), Ardèche (07), Isère (38), and Drôme (26)), for each of the markets concerned by the operation, the parties to the concentration present the following cumulative market shares:  </w:t>
        <w:br/>
        <w:t xml:space="preserve">Departments of Hautes Alpes (05), Ardèche (07), and Drôme (26)  </w:t>
        <w:br/>
        <w:t xml:space="preserve">Distribution of new passenger vehicles intended for individual customers 5.6%  </w:t>
        <w:br/>
        <w:t xml:space="preserve">Distribution of new commercial vehicles 6.3%  </w:t>
        <w:br/>
        <w:t xml:space="preserve">Distribution of used vehicles 2%  </w:t>
        <w:br/>
        <w:t xml:space="preserve">14. The market shares of the company ECL will, following the operation, be below 10% in the various markets for the distribution of new motor vehicles and below 5% in the market for the distribution of used vehicles. Furthermore, the company ECL will remain in competition with other independent Peugeot brand dealers as well as with  </w:t>
        <w:br/>
        <w:t xml:space="preserve">3 See the aforementioned decisions.  </w:t>
        <w:br/>
        <w:t>4 See the aforementioned decisions.</w:t>
      </w:r>
    </w:p>
    <w:p>
      <w:r>
        <w:rPr>
          <w:b/>
        </w:rPr>
        <w:t>[Pages 4–4]</w:t>
      </w:r>
    </w:p>
    <w:p>
      <w:r>
        <w:t>of competing brands, including Renault, Citroën, Volkswagen, Audi, and Fiat.</w:t>
      </w:r>
    </w:p>
    <w:p>
      <w:r>
        <w:t>15. The operation is therefore not likely to harm competition in these markets.</w:t>
      </w:r>
    </w:p>
    <w:p>
      <w:r>
        <w:t>B. MARKETS FOR SPARE PARTS AND MAINTENANCE AND REPAIR SERVICES</w:t>
      </w:r>
    </w:p>
    <w:p>
      <w:r>
        <w:t>16. In the retail market for automotive spare parts and accessories and in the market for maintenance and repair services for motor vehicles, the parties have not been able to provide their market shares. However, it should be noted that, in the four adjacent departments where the parties operate dealerships, the company ECL will face competition from other Peugeot brand dealers and authorized garages and repairers. ECL will also face competition from numerous independent garages and repairers, as well as specialized chains such as Speedy, Midas, Feu Vert, and Nauroto, which may offer consumers identical or equivalent quality spare parts and accessories, as well as maintenance and repair services for motor vehicles similar to those distributed by the various entities.</w:t>
      </w:r>
    </w:p>
    <w:p>
      <w:r>
        <w:t>17. Given the above elements, the operation is not likely to harm competition.</w:t>
      </w:r>
    </w:p>
    <w:p>
      <w:r>
        <w:t>DECIDES</w:t>
      </w:r>
    </w:p>
    <w:p>
      <w:r>
        <w:t>Sole Article: The operation notified under number 14-200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