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https://www.autoritedelaconcurrence.fr/fr/decision-de-controle-des-concentrations/relative-la-prise-de-controle-exclusif-des-societes-baumat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11-DCC-74 of May 12, 2011  </w:t>
        <w:br/>
        <w:t xml:space="preserve">regarding the exclusive control acquisition of the companies Baumat and Epcot by  </w:t>
        <w:br/>
        <w:t xml:space="preserve">the company ITM Alimentaire Nord  </w:t>
        <w:br/>
        <w:t xml:space="preserve">The Competition Authority,  </w:t>
        <w:br/>
        <w:t xml:space="preserve">Having regard to the complete notification file sent to the mergers department on April 20, 2011,  </w:t>
        <w:br/>
        <w:t xml:space="preserve">concerning the exclusive control acquisition of the companies Baumat and Epcot by the company ITM  </w:t>
        <w:br/>
        <w:t xml:space="preserve">Alimentaire Nord, formalized by an agreement dated December 21, 2010;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Baumat, which operates  </w:t>
        <w:br/>
        <w:t xml:space="preserve">a supermarket under the Intermarché brand in Gauville (80), and the company Epcot, which operates  </w:t>
        <w:br/>
        <w:t xml:space="preserve">a supermarket under the Netto brand in Gauville (80), by ITM Alimentaire Nord. It  </w:t>
        <w:br/>
        <w:t xml:space="preserve">constitutes a concentration operation within the meaning of Article L. 430-1 of the Commercial Code.  </w:t>
        <w:br/>
        <w:t xml:space="preserve">Considering the turnover generated by the companies concerned, the operation does not  </w:t>
        <w:br/>
        <w:t xml:space="preserve">have a community dimension. On the other hand, the control thresholds related to  </w:t>
        <w:br/>
        <w:t xml:space="preserve">retail trade mentioned in point II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11-0078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