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https://www.autoritedelaconcurrence.fr/fr/decision-de-controle-des-concentrations/relative-la-prise-de-controle-exclusif-des-societes-bavig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16-DCC-82 of June 3, 2016  </w:t>
        <w:br/>
        <w:t xml:space="preserve">regarding the exclusive control acquisition of the companies Bavig and Bertri by  </w:t>
        <w:br/>
        <w:t xml:space="preserve">the company ITM Sud Ouest  </w:t>
        <w:br/>
        <w:t xml:space="preserve">The Competition Authority,  </w:t>
        <w:br/>
        <w:t xml:space="preserve">Having regard to the complete notification file sent to the mergers department on April 28, 2016,  </w:t>
        <w:br/>
        <w:t xml:space="preserve">concerning the exclusive control acquisition of the companies Bavig and Bertri by the company ITM Sud  </w:t>
        <w:br/>
        <w:t xml:space="preserve">Ouest, formalized by a synallagmatic promise of share transfer dated February 22,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ITM Sud Ouest of exclusive control over  </w:t>
        <w:br/>
        <w:t xml:space="preserve">the companies Bavig and Bertri, which respectively operate a retail outlet under the Intermarché brand in the towns of Beaumont de Lomagne and Castelsarrasin (82). This operation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On the other hand, the control thresholds  </w:t>
        <w:br/>
        <w:t xml:space="preserve">related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16-079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