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https://www.autoritedelaconcurrence.fr/fr/decision-de-controle-des-concentrations/relative-la-prise-de-controle-exclusif-des-societes-bd-auto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23-DCC-95 of May 24, 2023  </w:t>
        <w:br/>
        <w:t xml:space="preserve">regarding the exclusive control acquisition of companies BD Auto 45 and Oreda  </w:t>
        <w:br/>
        <w:t xml:space="preserve">by the Bernier group  </w:t>
        <w:br/>
        <w:t xml:space="preserve">The Competition Authority,  </w:t>
        <w:br/>
        <w:t xml:space="preserve">Having regard to the complete notification file sent to the mergers department on April 28, 2023,  </w:t>
        <w:br/>
        <w:t xml:space="preserve">concerning the exclusive control acquisition by the Bernier group of companies BD Auto 45 and Oreda,  </w:t>
        <w:br/>
        <w:t xml:space="preserve">formalized by two share transfer agreements under suspensive conditions dated April 25,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company BD Auto 45, which  </w:t>
        <w:br/>
        <w:t xml:space="preserve">operates a business of automobile distribution in three establishments located in  </w:t>
        <w:br/>
        <w:t xml:space="preserve">Olivet (45) and Saran (45) and of company Oreda, which operates a business of  </w:t>
        <w:br/>
        <w:t xml:space="preserve">automobile distribution in La Chapelle-Saint-Mesmin (45), by the Bernier group (through  </w:t>
        <w:br/>
        <w:t xml:space="preserve">the company GGD), itself active in the automobile distribution sector. 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relating to retail trade mentioned in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23-121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