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https://www.autoritedelaconcurrence.fr/fr/decision-de-controle-des-concentrations/relative-la-prise-de-controle-exclusif-des-societes-biopath</w:t>
      </w:r>
    </w:p>
    <w:p>
      <w:r>
        <w:t>Pages translated : 2</w:t>
      </w:r>
    </w:p>
    <w:p/>
    <w:p>
      <w:r>
        <w:rPr>
          <w:b/>
        </w:rPr>
        <w:t>[Pages 1–2]</w:t>
      </w:r>
    </w:p>
    <w:p>
      <w:r>
        <w:t xml:space="preserve">FRENCH REPUBLIC  </w:t>
        <w:br/>
        <w:t xml:space="preserve">Decision No. 18-DCC-167 of October 16, 2018  </w:t>
        <w:br/>
        <w:t xml:space="preserve">regarding the exclusive control acquisition of the companies Biopath, SFMTbio, and Polibio by the Unilabs group  </w:t>
        <w:br/>
        <w:t xml:space="preserve">The Competition Authority,  </w:t>
        <w:br/>
        <w:t xml:space="preserve">Having regard to the complete notification file submitted to the mergers department on September 25, 2018, concerning the exclusive control acquisition of the companies Biopath, SFMTbio, and Polibio by the Unilabs group, formalized by three share transfer agreements dated September 20,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Biopath, SFMTbio, and Polibio by the Unilabs group, whose parent company, Unilabs AB, is itself controlled by an investment fund advised by Apax Partners. It constitutes a concentration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provision of medical biology analyses as well as the supply of equipment, reagents, and consumables for biology,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18-175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