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https://www.autoritedelaconcurrence.fr/fr/decision-de-controle-des-concentrations/relative-la-prise-de-controle-exclusif-des-societes-bois-0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21-DCC-53 of March 24, 2021  </w:t>
        <w:br/>
        <w:t xml:space="preserve">regarding the exclusive control acquisition of the companies Bois &amp; Matériaux, Bois &amp; Matériaux Distribution, and Panofrance by the company Chausson Matériaux  </w:t>
        <w:br/>
        <w:t xml:space="preserve">The Competition Authority,  </w:t>
        <w:br/>
        <w:t xml:space="preserve">Having regard to the complete notification file submitted to the mergers department on March 8, 2021, concerning the exclusive control acquisition of the companies Bois &amp; Matériaux, Bois &amp; Matériaux Distribution, and Panofrance by the company Chausson Matériaux, formalized by a purchase promise dated December 22, 2020;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operation consists of the exclusive control acquisition of the companies Bois &amp; Matériaux, Bois &amp; Matériaux Distribution, and Panofrance, by the company Chausson Matériaux active in the construction materials trading sector. It constitutes a concentration operation within the meaning of Article L. 430-1 of the Commercial Code. Given the turnover achieved by the companies concerned, the operation does not fall under the jurisdiction of the European Union. However, the control thresholds mentioned in point I of Article L. 430-2 of the Commercial Code are exceeded. The present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21-003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