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https://www.autoritedelaconcurrence.fr/fr/decision-de-controle-des-concentrations/relative-la-prise-de-controle-exclusif-des-societes-bois</w:t>
      </w:r>
    </w:p>
    <w:p>
      <w:r>
        <w:t>Pages translated : 4</w:t>
      </w:r>
    </w:p>
    <w:p/>
    <w:p>
      <w:r>
        <w:rPr>
          <w:b/>
        </w:rPr>
        <w:t>[Pages 1–3]</w:t>
      </w:r>
    </w:p>
    <w:p>
      <w:r>
        <w:t xml:space="preserve">FRENCH REPUBLIC  </w:t>
        <w:br/>
        <w:t xml:space="preserve">Decision No. 16-DCC-28 of February 22, 2016  </w:t>
        <w:br/>
        <w:t>regarding the exclusive control of the companies Bois &amp; Matériaux SAS and Guimier SAS by OpenGate Capital Management Europe SARL</w:t>
      </w:r>
    </w:p>
    <w:p>
      <w:r>
        <w:t xml:space="preserve">The Competition Authority,  </w:t>
        <w:br/>
        <w:t xml:space="preserve">Having regard to the notification file submitted in full to the merger service on January 18, 2016, regarding the exclusive control by OpenGate Capital Management Europe SARL of the companies Bois &amp; Matériaux SAS and Guimier SAS, formalized by a letter of offer and a draft share transfer agreement dated October 30, 2015;  </w:t>
        <w:br/>
        <w:t xml:space="preserve">Having regard to Book IV of the Commercial Code relating to price freedom and competition, and in particular Articles L. 430-1 to L. 430-7;  </w:t>
        <w:br/>
        <w:t xml:space="preserve">Having regard to the additional elements submitted by the parties during the investigation;  </w:t>
        <w:br/>
        <w:t>Adopts the following decision:</w:t>
      </w:r>
    </w:p>
    <w:p>
      <w:r>
        <w:t xml:space="preserve">I. The companies concerned and the transaction  </w:t>
        <w:br/>
        <w:t xml:space="preserve">1. OpenGate Capital Management Europe (hereinafter "OpenGate") is a limited liability company that is part of the American investment group OpenGate Capital, controlled by Mr. Andrew Nikou. OpenGate Capital's business consists of acquiring stakes in companies to support their development. OpenGate Capital notably holds the companies Profialis and Alphacan, specialized in the manufacture of PVC profiles for the building and construction sector in Europe.  </w:t>
        <w:br/>
        <w:t>2. Bois &amp; Matériaux and Guimier are companies controlled by the Wolseley plc group. Bois &amp; Matériaux is a building materials dealer present in France through a network of 130 sales outlets. The company operates in the generalist dealers segment through its brand Réseau Pro (108 sales outlets located in northern France), and in the specialist dealers segment through its brand Panofrance (30 sales outlets across France). Guimier is a dealer specialized in moldings and battens, with sales organized around 2 commercial agencies.</w:t>
      </w:r>
    </w:p>
    <w:p>
      <w:r>
        <w:t xml:space="preserve">3. The transaction involves the acquisition of all shares of Bois &amp; Matériaux and Guimier by OpenGate. As it results in the exclusive control of Bois &amp; Matériaux and Guimier by OpenGate, the transaction constitutes a concentration within the meaning of Article L. 430-1 of the Commercial Code.  </w:t>
        <w:br/>
        <w:t>4. The companies concerned have together achieved a consolidated worldwide turnover of more than 150 million euros (OpenGate: [...] euros for the fiscal year ending December 31, 2014; Bois &amp; Matériaux and Guimier: [...] euros for the same fiscal year). Each of these companies has achieved a turnover in France exceeding 50 million euros (OpenGate: [...] euros for the 2014 fiscal year; Bois &amp; Matériaux and Guimier: [...]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relevant markets  </w:t>
        <w:br/>
        <w:t>5. OpenGate, through Profialis and Alphacan, is active in the market for the supply of roofing materials, where it markets PVC profiles for roofing and cladding. Bois &amp; Matériaux is a building materials dealer. The vertical links between the activities of OpenGate and Bois &amp; Matériaux will therefore be examined.</w:t>
      </w:r>
    </w:p>
    <w:p>
      <w:r>
        <w:t xml:space="preserve">A. THE UPSTREAM MARKETS FOR ROOFING MATERIALS  </w:t>
        <w:br/>
        <w:t xml:space="preserve">1. PRODUCT MARKET  </w:t>
        <w:br/>
        <w:t xml:space="preserve">6. French and European decision-making practice has identified a relevant market for the supply of roofing materials. Within this market, it distinguishes between rainwater recovery systems and other roofing materials, insofar as the former have a specific use. Competition authorities have also considered segmenting the market based on the material used (zinc, copper, etc.), while emphasizing that such segmentation is not always relevant.  </w:t>
        <w:br/>
        <w:t xml:space="preserve">7. In this case, the question of the exact delineation of the markets can, however, be left open, as the conclusions of the competitive analysis remain unchanged regardless of the segmentation considered.  </w:t>
        <w:br/>
        <w:t>1 See the Authority's decision No. 12-DCC-107 of August 13, 2012, regarding the acquisition of Savoie Métal Toiture SAS by Decaber SA, and the European Commission decision COMP/M.4450 of February 26, 2007, Umicore/Zinifex/Neptune.</w:t>
      </w:r>
    </w:p>
    <w:p>
      <w:r>
        <w:t xml:space="preserve">2. GEOGRAPHIC MARKETS  </w:t>
        <w:br/>
        <w:t xml:space="preserve">8. The European Commission considered, while leaving the question open, that the markets for rainwater recovery systems and other roofing materials probably extended across the entire European Economic Area, insofar as they are sold throughout the European Union, and even beyond, despite the existence of national preferences. The Competition Authority, while leaving the question open, conducted the analysis at the national level, a hypothesis then deemed the most conservative.  </w:t>
        <w:br/>
        <w:t>9. The question of the exact market delineation can, however, be left open, as the conclusions of the competitive analysis remain unchanged regardless of the segmentation considered.</w:t>
      </w:r>
    </w:p>
    <w:p>
      <w:r>
        <w:t xml:space="preserve">B. THE DOWNSTREAM MARKET FOR SUPPLY OF ROOFING AND WATERPROOFING MATERIALS  </w:t>
        <w:br/>
        <w:t xml:space="preserve">1. PRODUCT MARKET  </w:t>
        <w:br/>
        <w:t xml:space="preserve">10. Regarding the supply of construction materials, decision-making practice distinguishes as many markets as there are families of products. The structure of supply, pricing dynamics, or manufacturing constraints can, in fact, vary significantly from one product family to another. The Competition Authority has notably identified the family of "roofing and waterproofing" products, which is relevant to the vertical relationship between the parties.  </w:t>
        <w:br/>
        <w:t xml:space="preserve">2. GEOGRAPHIC MARKET  </w:t>
        <w:br/>
        <w:t xml:space="preserve">11. Decision-making practice considers that the market for the supply of roofing and waterproofing materials has, at a minimum, a national dimension. The European Commission has thus emphasized that, in such markets, competition among the main suppliers, whether in terms of marketing strategy, commercial policy, or the location of sales outlets, operates at the national level.  </w:t>
        <w:br/>
        <w:t xml:space="preserve">12. In this case, the question of the exact market delineation can be left open insofar as, regardless of the delineation retained, the conclusions of the competitive analysis remain unchanged.  </w:t>
        <w:br/>
        <w:t xml:space="preserve">2 See the aforementioned European Commission decision COMP/M.4450.  </w:t>
        <w:br/>
        <w:t xml:space="preserve">3 See the aforementioned Authority decision No. 12-DCC-107.  </w:t>
        <w:br/>
        <w:t xml:space="preserve">4 See in particular the decisions of the Competition Authority No. 15-DCC-29 of March 19, 2015, regarding the exclusive control of SC Inv by SAMSE, No. 13-DCC-96 of July 23, 2013, regarding the exclusive control by Chausson Matériaux of 88 business assets held by Wolseley France, and No. 09-DCC-11 of June 2, 2009, regarding the exclusive control of FDE by the SAMSE group. See the letters from the Minister of Economy No. C1006-21 of March 13, 2006, to the advisors of Wolseley, regarding a concentration in the construction materials sector, No. 2003-212 to the advisors of Point P SA, regarding a concentration in the construction materials sector, and the letter from the Minister of Economy dated July 31, 2003, regarding the Point P/Dubois operation published in the BOCCRF of October 1, 2003.  </w:t>
        <w:br/>
        <w:t xml:space="preserve">5 Decision of the Competition Authority No. 09-DCC-11 and No. 11-DCC-157 of October 24, 2011, regarding the exclusive control of the Guillemet group by Chausson Matériaux SA.  </w:t>
        <w:br/>
        <w:t>6 See in particular the European Commission decision COMP/M.1873 of March 23, 2000, Compagnie de Saint Gobain/Meyer International and the aforementioned decision No. 15-DCC-29.</w:t>
      </w:r>
    </w:p>
    <w:p>
      <w:r>
        <w:rPr>
          <w:b/>
        </w:rPr>
        <w:t>[Pages 4–4]</w:t>
      </w:r>
    </w:p>
    <w:p>
      <w:r>
        <w:t>III. Competitive Analysis</w:t>
      </w:r>
    </w:p>
    <w:p>
      <w:r>
        <w:t>13. The transaction does not result in any horizontal overlap of activities. The analysis below therefore focuses solely on the effects arising from the vertical relationship between OpenGate and Bois &amp; Matériaux.</w:t>
      </w:r>
    </w:p>
    <w:p>
      <w:r>
        <w:t>14. A vertical concentration can restrict competition by making access to the markets in which the new entity will be active more difficult, or even potentially excluding competitors or penalizing them by increasing their costs. This foreclosure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decisional practice generally dismisses the risks of foreclosure when the market share of the company resulting from the transaction in the relevant markets does not exceed 30%.</w:t>
      </w:r>
    </w:p>
    <w:p>
      <w:r>
        <w:t>15. In the upstream market for roofing materials, OpenGate only sells PVC profiles for roofing and cladding. In this market segment, OpenGate's market share is [10-20]%. It faces competition from MEP (over [50-60]% of the market), Deceuninck-Inoutic ([10-20]% of the market), Freefoam, Nicoll, Plastivan, and Coprodex (approximately [5-10]% of the market each for these last four operators). Competitors of Bois &amp; Matériaux will therefore always have access to the inputs consisting of PVC profiles for roofing and cladding following the transaction.</w:t>
      </w:r>
    </w:p>
    <w:p>
      <w:r>
        <w:t>16. In the downstream market for the supply of roofing and waterproofing materials, Bois &amp; Matériaux represents only [0-5]% of the market, far behind the market leaders, namely Larivière ([10-20]% of the market), Point P ([10-20]% of the market), and Asturienne ([5-10]% of the market). Competitors of OpenGate will therefore always have sufficient outlets following the transaction.</w:t>
      </w:r>
    </w:p>
    <w:p>
      <w:r>
        <w:t>17. Consequently, the transaction is not likely to harm competition through vertical effects.</w:t>
      </w:r>
    </w:p>
    <w:p>
      <w:r>
        <w:t>DECIDES</w:t>
      </w:r>
    </w:p>
    <w:p>
      <w:r>
        <w:t>Sole Article: The transaction notified under number 15-227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