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https://www.autoritedelaconcurrence.fr/fr/decision-de-controle-des-concentrations/relative-la-prise-de-controle-exclusif-des-societes-bonhom</w:t>
      </w:r>
    </w:p>
    <w:p>
      <w:r>
        <w:t>Pages translated : 2</w:t>
      </w:r>
    </w:p>
    <w:p/>
    <w:p>
      <w:r>
        <w:rPr>
          <w:b/>
        </w:rPr>
        <w:t>[Pages 1–2]</w:t>
      </w:r>
    </w:p>
    <w:p>
      <w:r>
        <w:t xml:space="preserve">FRENCH REPUBLIC  </w:t>
        <w:br/>
        <w:t xml:space="preserve">Decision No. 25-DCC-46 of March 10, 2025  </w:t>
        <w:br/>
        <w:t xml:space="preserve">regarding the exclusive control acquisition of the companies Bonhom and Frans Bonhomme by the company Chausson Matériaux  </w:t>
        <w:br/>
        <w:t xml:space="preserve">The Competition Authority,  </w:t>
        <w:br/>
        <w:t xml:space="preserve">Having regard to the complete notification file submitted to the mergers department on February 20, 2025, concerning the exclusive control acquisition of the companies Bonhom S.A.S. and Frans Bonhomme S.A.S. by the company Chausson Matériaux S.A.S., formalized by a share transfer agreement signed on February 11,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Chausson Matériaux S.A.S., of all the shares and voting rights of the company Bonhom S.A.S. and consequently the control of this company and its subsidiary Frans Bonhomme S.A.S., which is active in the distribution sector of materials and infrastructure network solutions for public works and construction. The operation constitutes a concentration within the meaning of Article L. 430-1 of the Commercial Code.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24-330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