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https://www.autoritedelaconcurrence.fr/fr/decision-de-controle-des-concentrations/relative-la-prise-de-controle-exclusif-des-societes-bsa</w:t>
      </w:r>
    </w:p>
    <w:p>
      <w:r>
        <w:t>Pages translated : 2</w:t>
      </w:r>
    </w:p>
    <w:p/>
    <w:p>
      <w:r>
        <w:rPr>
          <w:b/>
        </w:rPr>
        <w:t>[Pages 1–2]</w:t>
      </w:r>
    </w:p>
    <w:p>
      <w:r>
        <w:t xml:space="preserve">FRENCH REPUBLIC  </w:t>
        <w:br/>
        <w:t xml:space="preserve">Decision No. 22-DCC-38 of March 22, 2022  </w:t>
        <w:br/>
        <w:t xml:space="preserve">regarding the exclusive control acquisition of the companies BSA Automobiles, SB Automobiles, Icone Automobiles, and Garage de la Jamagne by the company CAR Avenue France  </w:t>
        <w:br/>
        <w:t xml:space="preserve">The Competition Authority,  </w:t>
        <w:br/>
        <w:t xml:space="preserve">Having regard to the notification file sent to the mergers department on February 22, 2022, declared complete on March 16, 2022, concerning the exclusive control acquisition of the companies BSA Automobiles, SB Automobiles, Icone Automobiles, and Garage de la Jamagne by the company CAR Avenue France formalized by the transfer agreements dated February 16, 2022;  </w:t>
        <w:br/>
        <w:t xml:space="preserve">Having regard to Book IV of the Commercial Code relating to the freedom of prices and competition, and in particular its Articles L. 430-1 to L. 430-7;  </w:t>
        <w:br/>
        <w:t xml:space="preserve">Having regard to the additional elements submitted by the notifying party during the investigation;  </w:t>
        <w:br/>
        <w:t xml:space="preserve">Adopts the following decision:  </w:t>
        <w:br/>
        <w:t xml:space="preserve">1. The notified operation consists of the exclusive control acquisition by the company CAR Avenue France of the companies BSA Automobiles, SB Automobiles, Icone Automobiles, and Garage de la Jamagne, which operate five car dealerships located in the municipalities of Épinal (88), Gérardmer (88), and Saint-Dié-des-Vosges (88). It constitutes a concentration operation within the meaning of Article L. 430-1 of the Commercial Code. Given the turnover generated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22-046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