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https://www.autoritedelaconcurrence.fr/fr/decision-de-controle-des-concentrations/relative-la-prise-de-controle-exclusif-des-societes-c2p</w:t>
      </w:r>
    </w:p>
    <w:p>
      <w:r>
        <w:t>Pages translated : 2</w:t>
      </w:r>
    </w:p>
    <w:p/>
    <w:p>
      <w:r>
        <w:rPr>
          <w:b/>
        </w:rPr>
        <w:t>[Pages 1–2]</w:t>
      </w:r>
    </w:p>
    <w:p>
      <w:r>
        <w:t xml:space="preserve">FRENCH REPUBLIC  </w:t>
        <w:br/>
        <w:t xml:space="preserve">Decision No. 24-DCC-155 of July 24, 2024  </w:t>
        <w:br/>
        <w:t>regarding the exclusive control acquisition of the companies C2P Gestion and Motors Cars by the Clim group</w:t>
      </w:r>
    </w:p>
    <w:p>
      <w:r>
        <w:t>The Competition Authority,</w:t>
      </w:r>
    </w:p>
    <w:p>
      <w:r>
        <w:t>Having regard to the complete notification file submitted to the mergers department on July 5, 2024, concerning the exclusive control acquisition of the companies C2P Gestion and Motors Cars by the Clim group, formalized by a sale contract signed on July 5,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Clim group of 100% of the share capital, voting rights, and rights of the companies C2P Gestion and Motors Cars, which operate a car dealership (Hyundai and Mazda) located in Limoges (87).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24-150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