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https://www.autoritedelaconcurrence.fr/fr/decision-de-controle-des-concentrations/relative-la-prise-de-controle-exclusif-des-societes-cafpi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21-DCC-120 of July 13, 2021  </w:t>
        <w:br/>
        <w:t xml:space="preserve">regarding the acquisition of exclusive control of the companies CAFPI SA and  </w:t>
        <w:br/>
        <w:t xml:space="preserve">CAFPI Assurance SAS by the investment fund BlackFin  </w:t>
        <w:br/>
        <w:t xml:space="preserve">The Competition Authority,  </w:t>
        <w:br/>
        <w:t xml:space="preserve">Having regard to the complete notification file sent to the mergers department on June 25, 2021  </w:t>
        <w:br/>
        <w:t xml:space="preserve">concerning the acquisition of exclusive control of the companies CAFPI SA and CAFPI Assurance SAS by the  </w:t>
        <w:br/>
        <w:t xml:space="preserve">investment fund BlackFin materialized by a transfer contract dated May 12,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companies CAFPI SA and CAFPI  </w:t>
        <w:br/>
        <w:t xml:space="preserve">Assurance SAS by the investment fund BlackFin Financial Service Fund III, controlled by  </w:t>
        <w:br/>
        <w:t xml:space="preserve">the company Blackfin Capital Partners. The parties are active in the sector of banking operations intermediation,  </w:t>
        <w:br/>
        <w:t xml:space="preserve">credit restructuring, and insurance product distribution.  </w:t>
        <w:br/>
        <w:t xml:space="preserve">The operation constitutes a concentration operation within the meaning of Article L. 430-1 of the Commercial Code.  </w:t>
        <w:br/>
        <w:t xml:space="preserve">Given the turnover achieved by the companies concerned, the operation does not fall under the jurisdiction of the  </w:t>
        <w:br/>
        <w:t xml:space="preserve">European Union. On the other hand, the control thresholds mentioned in I of Article L. 430-2 of the Commercial Code  </w:t>
        <w:br/>
        <w:t xml:space="preserve">are exceeded. This operation is therefore subject to the provisions of Articles L. 430-3 and following of the  </w:t>
        <w:br/>
        <w:t xml:space="preserve">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21-103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