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https://www.autoritedelaconcurrence.fr/fr/decision-de-controle-des-concentrations/relative-la-prise-de-controle-exclusif-des-societes-capecom</w:t>
      </w:r>
    </w:p>
    <w:p>
      <w:r>
        <w:t>Pages translated : 8</w:t>
      </w:r>
    </w:p>
    <w:p/>
    <w:p>
      <w:r>
        <w:rPr>
          <w:b/>
        </w:rPr>
        <w:t>[Pages 1–3]</w:t>
      </w:r>
    </w:p>
    <w:p>
      <w:r>
        <w:t xml:space="preserve">FRENCH REPUBLIC  </w:t>
        <w:br/>
        <w:t xml:space="preserve">Decision No. 17-DCC-94 of June 27, 2017  </w:t>
        <w:br/>
        <w:t>regarding the exclusive control of the companies Capecom, Rohr-Cablor, Périno, and Fusion by the Crédit Mutuel group</w:t>
      </w:r>
    </w:p>
    <w:p>
      <w:r>
        <w:t xml:space="preserve">The Competition Authority,  </w:t>
        <w:br/>
        <w:t xml:space="preserve">Having regard to the notification file sent to the concentrations service on April 13, 2017, and declared complete on May 19, 2017, regarding the exclusive control of the companies Capecom, Rohr-Cablor, Périno, and Fusion by the Crédit Mutuel group, formalized by four share transfer contracts dated March 16, 2017;  </w:t>
        <w:br/>
        <w:t xml:space="preserve">Having regard to Book IV of the Commercial Code relating to price freedom and competition, and in particular Articles L. 430-1 to L. 430-7;  </w:t>
        <w:br/>
        <w:t xml:space="preserve">Having regard to the supplementary elements provided by the notifying party during the investigation;  </w:t>
        <w:br/>
        <w:t>Adopts the following decision:</w:t>
      </w:r>
    </w:p>
    <w:p>
      <w:r>
        <w:t xml:space="preserve">I. The companies concerned and the operation  </w:t>
        <w:br/>
        <w:t xml:space="preserve">A. THE COMPANIES CONCERNED  </w:t>
        <w:br/>
        <w:t xml:space="preserve">1. THE ACQUIRER AND THE TARGET COMPANIES  </w:t>
        <w:br/>
        <w:t xml:space="preserve">1. The National Confederation of Crédit Mutuel (hereinafter "CNCM") is, pursuant to Article L. 511-30 of the Monetary and Financial Code, the central body of the Crédit Mutuel group. The CNCM is constituted in the legal form of an association under the law of 1901. The Crédit Mutuel group is a mutual banking network composed of a network of local Crédit Mutuel funds, each of which belongs to one of the eighteen regional federations, which in turn are affiliated with the CNCM, in accordance with Article L. 512-56 of the Monetary and Financial Code, which makes this mechanism of affiliation of each entity to the higher level mandatory. The Crédit Mutuel group is also organized at an inter-federal level: pursuant to Article L. 512-55 of the Monetary and Financial Code, local funds must establish departmental or inter-departmental funds among themselves. Fourteen of the federations are grouped around two common federal funds, Crédit Mutuel Arkéa (which includes federal funds located notably in the west of France) and CM11-CIC (which includes federal funds located notably in the east of France). The other four federations have their own federal funds.  </w:t>
        <w:br/>
        <w:t xml:space="preserve">2. The Crédit Mutuel group engages in retail banking, corporate banking, private banking, insurance, and venture capital activities. CM11-CIC also controls the companies Circet Groupe, Connector, and Capcom, which are active in the engineering, deployment, and maintenance of telecommunications infrastructure. CM11-CIC also holds [&gt;80]% of the capital of the company Euro Information Telecom (hereinafter "EIT"), which operates various "Mobile Virtual Network Operator" brands (hereinafter "MVNO") (NRJ Mobile, Auchan Télécom, Cofidis Mobile, CIC Mobile, and Crédit Mutuel Mobile). According to the notifying party, the other federal funds of the group do not control, within the meaning of competition law, any company active in the markets concerned by the proposed operation, neither upstream, downstream, nor in related markets.  </w:t>
        <w:br/>
        <w:t>3. The target companies are Capecom, Rohr-Cablor, Périno, and Fusion. Capecom, which is exclusively controlled by the company Esyodis, controls the company Société Nouvelle de Télécommunications and the company Antenne Leclerc, which in turn controls the company Huou. Rohr-Cablor, which is exclusively controlled by the company RC Holding, holds the companies Optec Telecom and Société d’Exploitation du réseau Cable d’Abreshviller et Environ. Périno is exclusively controlled by the company Sycomore, which is itself controlled by Mr. Christophe Périno. Fusion is exclusively controlled by the company Altea, which is itself controlled by Mr. Alain Bado. The target companies are active in the sector of telecommunications network installation services in France.</w:t>
      </w:r>
    </w:p>
    <w:p>
      <w:r>
        <w:t xml:space="preserve">2. THE SCOPE OF THE ACQUIRER GROUP  </w:t>
        <w:br/>
        <w:t xml:space="preserve">a) The missions of the CNCM  </w:t>
        <w:br/>
        <w:t xml:space="preserve">4. The missions of the CNCM are defined by the provisions of Article L. 511-31 of the Monetary and Financial Code, common to all central bodies of mutual banks, as well as by the provisions of Article L. 512-56 of the same code, specific to this central body. As recently recalled by the Council of State, by these provisions the legislator has entrusted the CNCM with: "not only the collective representation of the mutual credit funds affiliated with the Crédit Mutuel network but also the missions of ensuring the cohesion of this network and the application of legislative and regulatory provisions specific to credit institutions, exercising administrative, technical, and financial control over the organization and management of each fund and taking all necessary measures for the proper functioning of the network. The second paragraph of Article R. 512-20 of this code provides in this regard that mutual credit funds "must commit to respecting the statutes, internal regulations, instructions, and decisions of the National Confederation of Crédit Mutuel." In terms of prevention and management of banking crises, the CNCM, in its capacity as the central body of the Crédit Mutuel network and as such "parent company in the Union" within the meaning of Article L. 613-35 of the Monetary and Financial Code, is obligated to maintain a preventive recovery plan. Article L. 613-38 of the same code provides for the establishment of group preventive resolution plans covering a group as a whole. For the exercise of these missions entrusted to it by law, the CNCM has prerogatives. Thus, Article R. 512-24 of the aforementioned code grants it sanctioning power over a mutual credit fund. Furthermore, pursuant to Article L. 511-31 of the same code, the CNCM may, when the financial situation of the concerned establishments justifies it, and notwithstanding any contrary provisions or stipulations, decide on the merger of two or more funds affiliated with the network, the transfer of their business assets as well as their dissolution" (decision CNCM v. Crédit Mutuel Arkéa, No. 403418 of December 13, 2016).  </w:t>
        <w:br/>
        <w:t xml:space="preserve">5. Regarding the powers of the CNCM in terms of financial solidarity, the Administrative Review Commission of the European Central Bank ("ECB"), in its opinion of September 14, 2015, regarding the ECB's decision of June 17, 2015, setting prudential requirements applicable to the Crédit Mutuel group, also recalled the binding nature of the aid measures unilaterally decided by the CNCM: "if the CNCM were to decide to support a fund, the entities called upon to provide their support would be obliged to apply this decision. This legal obligation also applies to the applicant [Crédit Mutuel Arkéa] since Article R. 512-20 of the Monetary and Financial Code clearly states that funds must commit to respecting the statutes, internal regulations, instructions, and decisions of the CNCM" (point 6.19).  </w:t>
        <w:br/>
        <w:t xml:space="preserve">6. As noted by the Competition Authority in its decision No. 16-D-30 of December 21, 2016, for the exercise of its missions of administrative, technical, and financial control, the CNCM collects various information from the federations and Crédit Mutuel funds in order to control the level of risk and obtain an overview of the state and evolution of the activity as well as the results of the group. It produces consolidated accounts. It also organizes on-site inspections concerning the affiliated establishments, including subsidiaries.  </w:t>
        <w:br/>
        <w:t xml:space="preserve">7. Regarding the territorial organization of the funds, the provisions of Articles R. 512-19, R. 512-20, and R. 512-21 of the Monetary and Financial Code provide that the CNCM keeps an updated list of mutual credit funds that are attached to it and registers the funds on this list when the requested registration is compatible with "the good general organization of Crédit Mutuel" and "its place in the financial organization of the country," it being specified that, in order to be registered on this list, mutual credit funds must, pursuant to the same provisions, limit their activity to a defined territorial jurisdiction or to a homogeneous group of members.  </w:t>
        <w:br/>
        <w:t xml:space="preserve">b) The administration of the CNCM  </w:t>
        <w:br/>
        <w:t>8. The CNCM is administered by a board of directors that exercises the powers attributed to it under Articles R. 512-19 to R. 512-26 of the Monetary and Financial Code. The list...</w:t>
      </w:r>
    </w:p>
    <w:p>
      <w:r>
        <w:rPr>
          <w:b/>
        </w:rPr>
        <w:t>[Pages 4–6]</w:t>
      </w:r>
    </w:p>
    <w:p>
      <w:r>
        <w:t>specification of powers is included in the statutes approved by the minister in accordance with Article L. 512-56 of the Monetary and Financial Code.</w:t>
      </w:r>
    </w:p>
    <w:p>
      <w:r>
        <w:t>9. As recalled by the Authority in its decision No. 16-D-30 of December 21, 2016, Article 11-3 of the statutes of Crédit Mutuel, adopted on March 21, 2016, describes the missions of the board of directors. In its role as director of the central body and by virtue of the powers granted to it by Articles L. 511-31, L. 512-56, and R. 512-19 to R. 512-26 of the aforementioned code, the board of directors exercises administrative, technical, and financial control over the organization and management of each caisse of each federation, as well as their subsidiaries. It approves the general managers of the federations and the effective managers of the federal caisses, as well as the heads of periodic control services and the "risk" function, and may withdraw their approval. It determines the conditions of control to which the various organizations that are members of the confederation must submit. It decides on the registration of the caisses on the list of Crédit Mutuel caisses and rules on any request for the delisting of a caisse presented by a federation. It is authorized to take or propose various sanctions (warning, reprimand, delisting, or exclusion) against the caisses and regional federations. It may withdraw its confidence from a federation or federal caisse president. It determines the jurisdiction of the federations and regional caisses, which it may cause to merge or dissolve, or, for the caisses, the total or partial transfer of their business assets. It establishes all internal regulations and makes all decisions necessary for the proper organization of Crédit Mutuel.</w:t>
      </w:r>
    </w:p>
    <w:p>
      <w:r>
        <w:t>10. In application of Article 8 of the statutes, the board of directors is composed of 18 members who must be, for 16 of them, directors or employees of federations or federal caisses and, for at least half of them, be directors. They are proposed by the regional groups.</w:t>
      </w:r>
    </w:p>
    <w:p>
      <w:r>
        <w:t>c) A unique and sustainable economic management of the Crédit Mutuel group</w:t>
      </w:r>
    </w:p>
    <w:p>
      <w:r>
        <w:t>11. In a decision dated May 24, 2011, regarding State aid No. C 88/1997, the European Commission found that "Crédit Mutuel is [...] a group with a single management pursuing a global policy. It maintains internal financial solidarity at the level of the confederation that ensures the liquidity of the regional federations. The group exhibits the characteristics of a single enterprise under competition law since it presents a single decision-making center at the central level."</w:t>
      </w:r>
    </w:p>
    <w:p>
      <w:r>
        <w:t>12. The Commission also retained this solution in the case of another mutual group. Thus, it considered that the Crédit Agricole group was "an economic entity forming a coherent whole," despite the specific forms given to it, particularly at the local level, by its mutual status, and the management autonomy that each Crédit Agricole caisse appears to enjoy. To reach this conclusion, the Commission relied on the existence of consolidated accounting, allowing for the establishment of the group's rating. Now, according to the Commission, "the rating of a group, and particularly of a financial institution, determines its access conditions to financial markets and is therefore a fundamental element in the formation of its costs that can advantage or disadvantage it in the competition it faces from companies in the same sector."</w:t>
      </w:r>
    </w:p>
    <w:p>
      <w:r>
        <w:t>13. Similarly, according to the guidelines of the Competition Authority regarding the control of concentrations, "in the mutual sector, the structures used for the rapprochement [...] involve significant and lasting financial solidarity links between the entities concerned and the combination of their accounts. Their creation is therefore analyzed as a merger."</w:t>
      </w:r>
    </w:p>
    <w:p>
      <w:r>
        <w:t>14. In this case, the CNCM produces consolidated accounts and rating agencies rate the Crédit Mutuel group. While a federal caisse may also be assigned a rating, this takes into account its affiliation with the group.</w:t>
      </w:r>
    </w:p>
    <w:p>
      <w:r>
        <w:t>15. Furthermore, as previously indicated, the CNCM can implement a mechanism of financial solidarity at the national level. This has indeed been strengthened by the general decision No. 1-2016 adopted on September 14, 2016, by the board of directors of the CNCM. This solidarity of commitments constitutes a central element of the recovery plan for crises of the Crédit Mutuel group. This plan, developed following Directive No. 2014/59/EU on the recovery and resolution framework for credit institutions, is consolidated at the level of the CNCM and communicated by it to the ECB in accordance with the directive.</w:t>
      </w:r>
    </w:p>
    <w:p>
      <w:r>
        <w:t>16. Thus, it follows from all the preceding elements, particularly the existence of consolidated accounts and the financial solidarity mechanisms that have just been strengthened, that the Crédit Mutuel group constitutes a single enterprise under competition law.</w:t>
      </w:r>
    </w:p>
    <w:p>
      <w:r>
        <w:t>B. THE OPERATION</w:t>
      </w:r>
    </w:p>
    <w:p>
      <w:r>
        <w:t>17. Following four share transfer contracts dated March 16, 2017, Circet Groupe, a subsidiary of the Crédit Mutuel group, is to acquire 100% of the shares of the companies Capecom, Rorh-Cablor, Périno, and Fusion. These four exclusive control acquisitions constitute interdependent operations with different sellers. Insofar as it results in the exclusive control of the companies Capecom, Rorh-Cablor, Périno, and Fusion by the Crédit Mutuel group, the notified operation constitutes a concentration operation within the meaning of Article L. 430-1 of the Commercial Code.</w:t>
      </w:r>
    </w:p>
    <w:p>
      <w:r>
        <w:t>18. At least two of the companies concerned generate a total worldwide turnover excluding taxes of more than 150 million euros (Crédit Mutuel group: [...] euros for the fiscal year ending December 31, 2015; Capecom SAS: [...] euros for the calendar year 2016 ending December 31, 2016). Each of these two companies has generated a turnover in France exceeding 50 million euros (Crédit Mutuel group: [...] euros for the fiscal year ending December 31, 2015; Capecom SAS: [...] euros for the calendar year 2016 ending December 31, 2016).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19. The four transfer contracts specify in their respective Article 5.1 that one of the suspensive conditions consists of "the obtaining by the Acquirer of the express or tacit authorization of the operation and the concomitant acquisition of 100% of the share capital of the companies [Capecom/Rohr Cablor/Périno/Fusion]."</w:t>
      </w:r>
    </w:p>
    <w:p>
      <w:r>
        <w:t>20. The latest accounts of Capecom having been exceptionally certified over an 18-month period, the turnover for 2016 of this company has been attested by a statutory auditor.</w:t>
      </w:r>
    </w:p>
    <w:p>
      <w:r>
        <w:t>II. Definition of the relevant markets</w:t>
      </w:r>
    </w:p>
    <w:p>
      <w:r>
        <w:t>19. The parties are simultaneously active in the electrical engineering markets.</w:t>
      </w:r>
    </w:p>
    <w:p>
      <w:r>
        <w:t>1. MARKET FOR SERVICES</w:t>
      </w:r>
    </w:p>
    <w:p>
      <w:r>
        <w:t>20. Regarding engineering services, the decision-making practice has established a segmentation between the market for electrical engineering services, which includes installation and maintenance services for telecommunications networks, and the markets for mechanical engineering and climate engineering.</w:t>
      </w:r>
    </w:p>
    <w:p>
      <w:r>
        <w:t>21. Electrical engineering encompasses the installation and maintenance services for telecommunications networks. Within electrical engineering, decision-making practice has considered the existence of three distinct segments relating to (i) telecommunications, (ii) electrical substations, and (iii) high voltage lines.</w:t>
      </w:r>
    </w:p>
    <w:p>
      <w:r>
        <w:t>22. Competition authorities have also considered that the electrical engineering market could be segmented based on the type of work, distinguishing between maintenance work and installation work. In accordance with decision-making practice, the parties consider that installation work includes the following services: design, initial installation of equipment, maintenance, repair, and modernization of infrastructure. Maintenance corresponds to the organization of periodic control visits.</w:t>
      </w:r>
    </w:p>
    <w:p>
      <w:r>
        <w:t>23. Furthermore, decision-making practice has recognized the existence of segmentation based on the type of clientele, distinguishing between residential and non-residential clientele. Within the segment of electrical engineering for non-residential clientele, it has considered a sub-segmentation between (i) infrastructure, (ii) industry, and (iii) tertiary.</w:t>
      </w:r>
    </w:p>
    <w:p>
      <w:r>
        <w:t>24. Finally, competition authorities have considered a segmentation of the markets for the installation and maintenance of telecommunications networks by distinguishing between work concerning the installation and maintenance of radio electronic communication equipment, on the one hand, and work for the installation and maintenance of electronic communication equipment, on the other hand.</w:t>
      </w:r>
    </w:p>
    <w:p>
      <w:r>
        <w:rPr>
          <w:b/>
        </w:rPr>
        <w:t>[Pages 7–8]</w:t>
      </w:r>
    </w:p>
    <w:p>
      <w:r>
        <w:t>25. In any case, the question of the exact delineation of these markets may be left open, insofar as, regardless of the segmentation chosen, the conclusions of the competitive analysis remain unchanged.</w:t>
      </w:r>
    </w:p>
    <w:p>
      <w:r>
        <w:t>26. In this case, the parties are simultaneously active in the telecommunications network installation market.</w:t>
      </w:r>
    </w:p>
    <w:p>
      <w:r>
        <w:t>2. GEOGRAPHICAL MARKET</w:t>
      </w:r>
    </w:p>
    <w:p>
      <w:r>
        <w:t>27. European decision-making practice considers that electrical engineering markets are likely to be of national dimension, due to the conditions of competition in these homogeneous markets across the entire French territory. However, it has also conducted a competitive analysis of these markets at the regional level. Similarly, national decision-making practice has considered that these markets may have a national and/or regional dimension.</w:t>
      </w:r>
    </w:p>
    <w:p>
      <w:r>
        <w:t>28. In any case, the question of the exact geographical delineation of these markets may be left open, as, regardless of the delineation chosen, the conclusions of the competitive analysis remain unchanged.</w:t>
      </w:r>
    </w:p>
    <w:p>
      <w:r>
        <w:t>29. In this case, since the parties are not simultaneously present in the same regions, the analysis will be conducted solely at the national level.</w:t>
      </w:r>
    </w:p>
    <w:p>
      <w:r>
        <w:t>III. Competitive Analysis</w:t>
      </w:r>
    </w:p>
    <w:p>
      <w:r>
        <w:t>30. In the electrical engineering market, the new entity will hold a cumulative market share of [0-5]% at the national level, and a cumulative market share of less than 5% at the regional level.</w:t>
      </w:r>
    </w:p>
    <w:p>
      <w:r>
        <w:t>31. In the telecommunications network installation and maintenance market, at the national level, the new entity will hold a market share of less than 13%.</w:t>
      </w:r>
    </w:p>
    <w:p>
      <w:r>
        <w:t>32. In the telecommunications network installation market, at the national level, Circet and Capecom hold market shares of [10-20]% and [0-5]%, respectively. Following the operation, the market share of the new entity will therefore rise to [10-20]% and will remain below 20%, regardless of the segmentation chosen.</w:t>
      </w:r>
    </w:p>
    <w:p>
      <w:r>
        <w:t>33. At the national level, in the relevant markets, the new entity will also face competition from numerous players, including the groups Vinci, Spie, Eiffage, and Bouygues.</w:t>
      </w:r>
    </w:p>
    <w:p>
      <w:r>
        <w:t>34. Consequently, given these limited market shares and the existence of significant competitors, the operation is not likely to harm competition through horizontal effects in the electrical engineering, installation, and maintenance markets for telecommunications networks in France.</w:t>
      </w:r>
    </w:p>
    <w:p>
      <w:r>
        <w:t>DECIDES</w:t>
      </w:r>
    </w:p>
    <w:p>
      <w:r>
        <w:t>Sole Article: The operation notified under number 17-065 is authorized.</w:t>
      </w:r>
    </w:p>
    <w:p>
      <w: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