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https://www.autoritedelaconcurrence.fr/fr/decision-de-controle-des-concentrations/relative-la-prise-de-controle-exclusif-des-societes-car-64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21-DCC-262 of December 29, 2021  </w:t>
        <w:br/>
        <w:t xml:space="preserve">regarding the exclusive control acquisition of the companies Car 64-40, Car 40-64  </w:t>
        <w:br/>
        <w:t xml:space="preserve">and Erramuzpe Automobiles by the company Eden Auto  </w:t>
        <w:br/>
        <w:t xml:space="preserve">The Competition Authority,  </w:t>
        <w:br/>
        <w:t xml:space="preserve">Having regard to the complete notification file sent to the mergers department on December 13,  </w:t>
        <w:br/>
        <w:t xml:space="preserve">2021, concerning the exclusive control acquisition of the companies Car 64-40, Car 40-64, and Erramuzpe  </w:t>
        <w:br/>
        <w:t xml:space="preserve">Automobiles by the company Eden Auto, formalized by a letter of intent dated November 24,  </w:t>
        <w:br/>
        <w:t xml:space="preserve">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companies Car 64-40, Car 40-64  </w:t>
        <w:br/>
        <w:t xml:space="preserve">and Erramuzpe Automobiles, which operate car dealerships for the brands Kia,  </w:t>
        <w:br/>
        <w:t xml:space="preserve">Mitsubishi, and Nissan, located in Anglet (64), Dax (40), and Mont-de-Marsan (40), by the company  </w:t>
        <w:br/>
        <w:t xml:space="preserve">Eden Auto, which is itself active in the automotive distribution sector. It constitutes a  </w:t>
        <w:br/>
        <w:t xml:space="preserve">concentration operation within the meaning of Article L. 430-1 of the Commercial Code. Given the  </w:t>
        <w:br/>
        <w:t xml:space="preserve">turnover generated by the companies concerned, the operation does not fall under the  </w:t>
        <w:br/>
        <w:t xml:space="preserve">jurisdiction of the European Union. On the other hand, the retail control thresholds mentioned in II of  </w:t>
        <w:br/>
        <w:t xml:space="preserve">Article L. 430-2 of the Commercial Code are exceeded. This operation is therefore subject to the  </w:t>
        <w:br/>
        <w:t xml:space="preserve">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21-259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