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https://www.autoritedelaconcurrence.fr/fr/decision-de-controle-des-concentrations/relative-la-prise-de-controle-exclusif-des-societes-car</w:t>
      </w:r>
    </w:p>
    <w:p>
      <w:r>
        <w:t>Pages translated : 9</w:t>
      </w:r>
    </w:p>
    <w:p/>
    <w:p>
      <w:r>
        <w:rPr>
          <w:b/>
        </w:rPr>
        <w:t>[Pages 1–3]</w:t>
      </w:r>
    </w:p>
    <w:p>
      <w:r>
        <w:t>FRENCH REPUBLIC</w:t>
        <w:br/>
        <w:t>Decision No. 22-DCC-174 of September 13, 2022</w:t>
        <w:br/>
        <w:t>regarding the exclusive control of the companies Car Loisirs, Car Loisirs 13, and Car Loisirs 84 by the company Trigano</w:t>
        <w:br/>
        <w:t>The Competition Authority,</w:t>
        <w:br/>
        <w:t>Having regard to the notification file submitted in full to the merger service on August 12, 2022, regarding the exclusive control of the companies Car Loisirs, Car Loisirs 13, and Car Loisirs 84 by the company Trigano, formalized by the transfer protocol of May 18, 2022;</w:t>
        <w:br/>
        <w:t>Having regard to Book IV of the Commercial Code relating to the freedom of prices and competition, and in particular its Articles L. 430-1 to L. 430-7;</w:t>
        <w:br/>
        <w:t>Having regard to the supplementary elements transmitted by the notifying party during the investigation;</w:t>
        <w:br/>
        <w:t>Adopts the following decision:</w:t>
      </w:r>
    </w:p>
    <w:p>
      <w:r>
        <w:t>I. The companies involved and the operation</w:t>
        <w:br/>
        <w:t>1. Trigano is a public limited company listed on the Euronext Paris market, which is exclusively controlled by Mr. François Feuillet. It is the parent company of the Trigano group, which controls several companies active in the sectors of leisure vehicle production (caravans, motorhomes, and mobile homes), heavy repair, and the distribution of accessories and spare parts for this type of vehicle. It also controls companies active in the retail distribution of new and used leisure vehicles as well as in the rental and financing sector of leisure vehicles. The companies of the Trigano group are mainly active in Western Europe, particularly in Germany, Belgium, Spain, France, Italy, the Netherlands, Norway, the United Kingdom, and Sweden.</w:t>
        <w:br/>
        <w:t>2. Car Loisirs Groupe (hereinafter "CLG") is a family group active in the distribution of new and used motorhomes. It currently controls the three target companies: Car Loisirs 13 (hereinafter "CL13"), which operates a motorhome sales dealership in Septèmes-les-Vallons (Bouches-du-Rhône), Car Loisirs 83 (hereinafter "CL83"), which operates a motorhome sales dealership in Six-Fours-les-Plages (Var), and Car Loisirs 84 (hereinafter "CL84") which operates a motorhome sales dealership in Le Pontet (Vaucluse).</w:t>
        <w:br/>
        <w:t>3. The contemplated operation consists of the acquisition by the company Trigano of all the shares held by CLG in its subsidiaries CL13, CL83, and CL84.</w:t>
        <w:br/>
        <w:t>4. Insofar as it results in the exclusive control of CL13, CL83, and CL84 by Trigano, the notified operation constitutes a concentration operation within the meaning of Article L. 430-1 of the Commercial Code.</w:t>
        <w:br/>
        <w:t>5. The companies concerned together achieve a total worldwide turnover of more than 150 million euros (Trigano: 2,933.6 million euros for the fiscal year ending August 31, 2021; CL83: [≤ 150 million] euros for the fiscal year ending August 31, 2021; CL84: [≤ 150 million] euros for the fiscal year ending August 31, 2021; CL13: [≤ 150 million] euros for the fiscal year ending August 31, 2021). At least two of these companies have achieved a turnover in France exceeding 15 million euros (Trigano: [≥ 15 million] euros for the fiscal year ending August 31, 2021; CL83: [≤ 15 million] euros for the fiscal year ending August 31, 2021; CL84: [≤ 15 million] euros for the fiscal year ending August 31, 2021; CL13: [≥ 15 million] euros for the fiscal year ending August 31, 2021). Given these turnover figures, the operation does not have a European dimension. However, the control thresholds mentioned in II of Article L. 430-2 of the Commercial Code are exceeded. This operation is therefore subject to the provisions of Articles L. 430-3 and following of the Commercial Code, relating to economic concentration.</w:t>
        <w:br/>
        <w:t>1 The activity of leisure vehicle production represents [confidential] % of Trigano's turnover.</w:t>
        <w:br/>
        <w:t>2 In addition to its activities related to leisure vehicles, Trigano is also active in the market for the commercialization of leisure equipment (trailers, camping and garden equipment). This activity remains marginal and represents less than [confidential] % of Trigano's turnover.</w:t>
      </w:r>
    </w:p>
    <w:p>
      <w:r>
        <w:t>II. Definition of the relevant markets</w:t>
        <w:br/>
        <w:t>6. The operation concerns the sector of leisure vehicles (caravans, motorhomes, and mobile homes). The parties are active in the markets for the construction and distribution of leisure vehicles.</w:t>
        <w:br/>
        <w:t>A. THE MARKETS FOR PRODUCTS AND SERVICES</w:t>
        <w:br/>
        <w:t>7. Within the automotive sector, the French and European competition authorities notably distinguish the following activities:</w:t>
        <w:br/>
        <w:t>- the construction and commercialization of new vehicles;</w:t>
        <w:br/>
        <w:t>- the retail distribution of new vehicles;</w:t>
        <w:br/>
        <w:t>- the retail distribution of used vehicles;</w:t>
        <w:br/>
        <w:t>- the rental of vehicles;</w:t>
        <w:br/>
        <w:t>- the distribution of spare parts and accessories;</w:t>
        <w:br/>
        <w:t>- maintenance and repair services.</w:t>
        <w:br/>
        <w:t>8. The decisional practice has considered that this segmentation is also applicable to the leisure vehicle sector.</w:t>
        <w:br/>
        <w:t>9. It has also considered segmenting the markets for the construction and commercialization of leisure vehicles, as well as those for the retail distribution of new or used leisure vehicles, according to the category of leisure vehicle (caravans, motorhomes, and mobile homes).</w:t>
        <w:br/>
        <w:t>10. There is no need to challenge the segmentations envisaged by the decisional practice for the purposes of the present operation.</w:t>
      </w:r>
    </w:p>
    <w:p>
      <w:r>
        <w:rPr>
          <w:b/>
        </w:rPr>
        <w:t>[Pages 4–6]</w:t>
      </w:r>
    </w:p>
    <w:p>
      <w:r>
        <w:t>B. GEOGRAPHIC MARKETS</w:t>
      </w:r>
    </w:p>
    <w:p>
      <w:r>
        <w:t>11. Regarding the markets for the construction and commercialization of recreational vehicles, the decisional practice has left open the question of whether they have a European or national dimension.</w:t>
      </w:r>
    </w:p>
    <w:p>
      <w:r>
        <w:t>12. The notifying party considers that the market for the construction and commercialization of recreational vehicles is a market of European dimension. However, the market shares of French manufacturers, notably that of Trigano, are significantly higher in France than those held in the rest of Europe. In this regard, it can be noted that French manufacturers account for 70% of registrations at the national level while they represent less than 40% at the European level.</w:t>
      </w:r>
    </w:p>
    <w:p>
      <w:r>
        <w:t>13. In this case, the question of the geographical delimitation of the market can be left open, as the conclusions of the analysis remain the same regardless of the delimitation chosen. The analysis of the market for the construction and commercialization of recreational vehicles will be conducted based on the most conservative hypothesis, that is to say, at the national level.</w:t>
      </w:r>
    </w:p>
    <w:p>
      <w:r>
        <w:t>14. The decisional practice regarding the distribution of recreational vehicles has noted that the behavior of buyers of recreational vehicles differs from that of buyers of traditional vehicles, the specificity of recreational vehicles justifying greater travel distances on the part of customers (particularly given their high prices). While leaving the question open, it has retained catchment areas including the department of establishment of each dealership as well as neighboring departments. The effects of the present operation will therefore be analyzed on the catchment areas thus defined.</w:t>
      </w:r>
    </w:p>
    <w:p>
      <w:r>
        <w:t>15. Despite the insularity of the two departments of Corsica, South Corsica (2A) and Upper Corsica (2B), the parties consider it justified that they be regarded as neighboring departments with regular maritime connections from Corsican ports, namely:</w:t>
        <w:br/>
        <w:t>- Bouches-du-Rhône (13), due to the maritime connection to Marseille;</w:t>
        <w:br/>
        <w:t>- Var (83), due to the maritime connection to Toulon;</w:t>
        <w:br/>
        <w:t>- Alpes-Maritimes (06), due to the maritime connection to Nice.</w:t>
      </w:r>
    </w:p>
    <w:p>
      <w:r>
        <w:t>16. Indeed, according to the parties, there would be no dealer selling new or used motorhomes in Corsica. Thus, a Corsican resident wishing to acquire a new or used motorhome will necessarily travel to the mainland.</w:t>
      </w:r>
    </w:p>
    <w:p>
      <w:r>
        <w:t>17. In this case, the question of the inclusion of Corsica can be left open, as the competitive analysis remains unchanged regardless of the option chosen.</w:t>
      </w:r>
    </w:p>
    <w:p>
      <w:r>
        <w:t>18. Regarding (i) the markets for the distribution of spare parts and accessories for recreational vehicles, (ii) those for the distribution of maintenance and repair services for recreational vehicles, and (iii) those for the rental of vehicles, the decisional practice has left open the question of whether they have a national or local dimension, with the analysis generally conducted at the departmental level.</w:t>
      </w:r>
    </w:p>
    <w:p>
      <w:r>
        <w:t>19. In this case, given the tendency of recreational vehicle customers to travel a greater distance than those purchasing traditional vehicles and the location of the parties' dealerships, the analysis will be conducted at the level of the catchment area including the department of establishment of each dealership as well as neighboring departments.</w:t>
      </w:r>
    </w:p>
    <w:p>
      <w:r>
        <w:t>III. Competitive Analysis</w:t>
      </w:r>
    </w:p>
    <w:p>
      <w:r>
        <w:t>20. To the extent that the parties are simultaneously active in the markets for the distribution of recreational vehicles, the operation is likely to produce horizontal effects (A). Furthermore, to the extent that Trigano is present in the market for the construction and commercialization of recreational vehicles, the operation is also likely to produce vertical effects (B).</w:t>
      </w:r>
    </w:p>
    <w:p>
      <w:r>
        <w:t>A. ANALYSIS OF HORIZONTAL EFFECTS</w:t>
      </w:r>
    </w:p>
    <w:p>
      <w:r>
        <w:t>1. ON THE MARKETS FOR THE DISTRIBUTION OF NEW AND USED MOTORHOMES</w:t>
      </w:r>
    </w:p>
    <w:p>
      <w:r>
        <w:t>21. Trigano and the targets are simultaneously active in the markets for the distribution of motorhomes. The target companies do not distribute caravans and mobile homes, which allows for the exclusion of any risk of horizontal effects in these markets.</w:t>
      </w:r>
    </w:p>
    <w:p>
      <w:r>
        <w:t>22. Regarding the markets for the distribution of new motorhomes, as well as the distribution of used motorhomes, the market shares of the new entity are systematically below 25%. Thus, the operation is not likely to harm competition through horizontal effects in these markets.</w:t>
      </w:r>
    </w:p>
    <w:p>
      <w:r>
        <w:t>Market shares of the parties in the markets for the distribution of new motorhomes</w:t>
        <w:br/>
        <w:t>Market shares Car Market shares of the</w:t>
        <w:br/>
        <w:t>Zone Market shares Trigano</w:t>
        <w:br/>
        <w:t>Leisure new entity</w:t>
        <w:br/>
        <w:t>CL83: Var and neighboring departments</w:t>
        <w:br/>
        <w:t>[0-5]% [10-20]% [10-20]%</w:t>
        <w:br/>
        <w:t>(excluding Corsica)</w:t>
        <w:br/>
        <w:t>CL83: Var and neighboring departments</w:t>
        <w:br/>
        <w:t>[0-5]% [10-20]% [10-20]%</w:t>
        <w:br/>
        <w:t>(including Corsica)</w:t>
        <w:br/>
        <w:t>CL13: Bouches-du-Rhône and neighboring departments (excluding [5-10]% [10-20]% [20-30]%</w:t>
        <w:br/>
        <w:t>Corsica)</w:t>
        <w:br/>
        <w:t>CL13: Bouches-du-Rhône and neighboring departments (including [5-10]% [10-20]% [20-30]%</w:t>
        <w:br/>
        <w:t>Corsica)</w:t>
      </w:r>
    </w:p>
    <w:p>
      <w:r>
        <w:t>CL84: Vaucluse and neighboring departments</w:t>
        <w:br/>
        <w:t>[5-10]% [10-20]% [20-30]%</w:t>
      </w:r>
    </w:p>
    <w:p>
      <w:r>
        <w:t>Market shares of the parties in the markets for the distribution of used motorhomes</w:t>
        <w:br/>
        <w:t>Market shares Car Market shares of the</w:t>
        <w:br/>
        <w:t>Zone Market shares Trigano</w:t>
        <w:br/>
        <w:t>Leisure new entity</w:t>
        <w:br/>
        <w:t>CL83: Var and neighboring departments</w:t>
        <w:br/>
        <w:t>[0-5]% [0-5]% [5-10]%</w:t>
        <w:br/>
        <w:t>(excluding Corsica)</w:t>
        <w:br/>
        <w:t>CL83: Var and neighboring departments</w:t>
        <w:br/>
        <w:t>[0-5]% [0-5]% [5-10]%</w:t>
        <w:br/>
        <w:t>(including Corsica)</w:t>
        <w:br/>
        <w:t>CL13: Bouches-du-Rhône and neighboring departments (excluding [0-5]% [0-5]% [5-10]%</w:t>
        <w:br/>
        <w:t>Corsica)</w:t>
        <w:br/>
        <w:t>CL13: Bouches-du-Rhône and neighboring departments (including [0-5]% [0-5]% [5-10]%</w:t>
        <w:br/>
        <w:t>Corsica)</w:t>
        <w:br/>
        <w:t>CL84: Vaucluse and neighboring departments</w:t>
        <w:br/>
        <w:t>[0-5]% [0-5]% [5-10]%</w:t>
      </w:r>
    </w:p>
    <w:p>
      <w:r>
        <w:t>2. ON OTHER DISTRIBUTION MARKETS</w:t>
      </w:r>
    </w:p>
    <w:p>
      <w:r>
        <w:t>23. Besides the market for the distribution of new and used motorhomes, the parties are simultaneously active in the markets for the distribution of spare parts and accessories, maintenance and repair services, as well as in the market for the rental of recreational vehicles.</w:t>
      </w:r>
    </w:p>
    <w:p>
      <w:r>
        <w:t>24. The parties have indicated that they do not have data to determine their positions in these various markets. However, they indicate that their position in the markets for spare parts and accessories, repair, and maintenance is lower than that held in the market for the distribution of motorhomes, as the sources of supply for spare parts and related repair services are more varied than just the distributors of recreational vehicles. Customers can also turn to garages.</w:t>
      </w:r>
    </w:p>
    <w:p>
      <w:r>
        <w:t>25. Similarly, the parties note that in terms of recreational vehicle rental, in addition to recreational vehicle distributors, customers can also turn to peer-to-peer platforms such as Campanda, Yescapa, Wikicampers, and Le Bon Coin.</w:t>
      </w:r>
    </w:p>
    <w:p>
      <w:r>
        <w:t>26. Therefore, it appears that the position of the parties in the markets for repair and distribution of spare parts and in the rental market is lower, or at least equivalent, to that held in the market for the distribution of motorhomes, that is to say, below 25%.</w:t>
      </w:r>
    </w:p>
    <w:p>
      <w:r>
        <w:rPr>
          <w:b/>
        </w:rPr>
        <w:t>[Pages 7–9]</w:t>
      </w:r>
    </w:p>
    <w:p>
      <w:r>
        <w:t>27. Thus, the operation is not likely to harm competition through horizontal effects in the markets for the distribution of spare parts and accessories, maintenance and repair services, and rental of leisure vehicles.</w:t>
      </w:r>
    </w:p>
    <w:p>
      <w:r>
        <w:t>B. ANALYSIS OF VERTICAL EFFECTS</w:t>
      </w:r>
    </w:p>
    <w:p>
      <w:r>
        <w:t>28. The vertical integration of a company or its strengthening can harm competition when that company holds, in one or more relevant markets, substantial market power that can serve as leverage for an effect. A vertical concentration can restrict competition by making access to the markets in which the new entity will be active more difficult, or even by excluding competitors or penalizing them through increased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29. However, the Authority considers that it is unlikely that a company with a market share of less than 30% in a given market could lock an upstream or downstream market.</w:t>
      </w:r>
    </w:p>
    <w:p>
      <w:r>
        <w:t>30. In this case, Trigano and the target companies are active in the downstream markets for the retail distribution of new and used motorhomes, and Trigano is also present in the upstream market for the construction and commercialization of motorhomes.</w:t>
      </w:r>
    </w:p>
    <w:p>
      <w:r>
        <w:t>Market shares of Trigano in the markets for the construction of motorhomes</w:t>
        <w:br/>
        <w:t>In volume In value</w:t>
        <w:br/>
        <w:t>At the European level [20-30]% [20-30]%</w:t>
        <w:br/>
        <w:t>At the national level [30-40]% [30-40]%</w:t>
      </w:r>
    </w:p>
    <w:p>
      <w:r>
        <w:t>31. At the national level, the new entity will have a market share exceeding 30% in the market for the construction of motorhomes. It would therefore be able to use this position in the upstream market for the construction of motorhomes to strengthen its position in the downstream distribution markets.</w:t>
      </w:r>
    </w:p>
    <w:p>
      <w:r>
        <w:t>32. The likelihood of a scenario of excluding competitors downstream must therefore be assessed by examining whether the new entity would, after the operation, have the capacity to significantly lock its competitors out of the market, whether the incentives to do so would be sufficient, and whether, finally, a locking strategy would have a significant effect on the markets concerned.</w:t>
      </w:r>
    </w:p>
    <w:p>
      <w:r>
        <w:t>33. Such a strategy would materialize in Trigano granting less favorable commercial or financial conditions to non-integrated distributors, which would amount to degrading the attractiveness of the sales points of the competitors of the parties.</w:t>
      </w:r>
    </w:p>
    <w:p>
      <w:r>
        <w:t>34. In this regard, it appears first that despite Trigano's market share in the upstream market, the file shows that the brands belonging to the Trigano group are not sufficiently essential to constitute a significant competitive advantage downstream for the dealers. Thus, the potential absence of products marketed by Trigano, or their marketing under less favorable conditions, in certain or all networks of competing distributors appears unlikely to give the new entity an advantage downstream or harm competing dealers.</w:t>
      </w:r>
    </w:p>
    <w:p>
      <w:r>
        <w:t>35. Secondly, a locking strategy for inputs could lead Trigano to lose sales volumes upstream. However, the margins realized at the retail stage are lower than those realized when selling products to distributors. For a locking strategy for inputs to be profitable, it would therefore be necessary for the increase in retail sales within the target dealerships to be sufficiently high to compensate for the decrease in sales of Trigano products at competing dealerships. Given that it seems unlikely that the locking strategy for inputs would significantly reduce the traffic to competing dealerships, the new entity will have no incentive to implement such a locking strategy.</w:t>
      </w:r>
    </w:p>
    <w:p>
      <w:r>
        <w:t>36. Thus, the operation is not likely to raise a risk of locking inputs.</w:t>
      </w:r>
    </w:p>
    <w:p>
      <w:r>
        <w:t>37. Similarly, given the market shares of less than 30% in the downstream distribution markets, any risk of locking outlets can also be ruled out.</w:t>
      </w:r>
    </w:p>
    <w:p>
      <w:r>
        <w:t>38. Finally, any risk of Trigano accessing sensitive information regarding competing manufacturers can be ruled out, as distributors themselves inform manufacturers of each other's commercial policies. Moreover, the competitors of the parties have sufficient outlets so as not to be obliged to distribute their products in the dealerships of the new entity. In this context, if competitors believe that there remains a risk related to Trigano's access to sensitive information about the commercial strategy of its competitors, they will have sufficient outlets to terminate their business relationship with the dealerships of the new entity.</w:t>
      </w:r>
    </w:p>
    <w:p>
      <w:r>
        <w:t>39. In light of these elements, the operation is not likely to harm competition through vertical effects between the upstream markets for the construction and commercialization of motorhomes and the downstream markets for distribution.</w:t>
      </w:r>
    </w:p>
    <w:p>
      <w:r>
        <w:t>DECISION</w:t>
      </w:r>
    </w:p>
    <w:p>
      <w:r>
        <w:t>Sole Article: The operation notified under number 22-162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