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https://www.autoritedelaconcurrence.fr/fr/decision-de-controle-des-concentrations/relative-la-prise-de-controle-exclusif-des-societes-centre</w:t>
      </w:r>
    </w:p>
    <w:p>
      <w:r>
        <w:t>Pages translated : 2</w:t>
      </w:r>
    </w:p>
    <w:p/>
    <w:p>
      <w:r>
        <w:rPr>
          <w:b/>
        </w:rPr>
        <w:t>[Pages 1–2]</w:t>
      </w:r>
    </w:p>
    <w:p>
      <w:r>
        <w:t xml:space="preserve">FRENCH REPUBLIC  </w:t>
        <w:br/>
        <w:t xml:space="preserve">Decision No. 16-DCC-204 of December 7, 2016  </w:t>
        <w:br/>
        <w:t xml:space="preserve">regarding the exclusive control acquisition of the companies Centre Etoile Automobiles, New Center Car, and AAA by Groupe Maurin  </w:t>
        <w:br/>
        <w:t xml:space="preserve">The Competition Authority,  </w:t>
        <w:br/>
        <w:t xml:space="preserve">Having regard to the complete notification file submitted to the mergers department on November 18, 2016, concerning the exclusive control acquisition of the companies SAS Centre Etoile Automobiles, SARL New Center Car, and SARL AAA by Groupe Maurin;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Groupe Maurin of the companies SAS Centre Etoile Automobiles, SARL New Center Car, and SARL AAA, which are primarily active in the sector of distribution and repair of motor vehicles in the departments of Puy-de-Dôme (63) and Allier (03). This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16-236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