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https://www.autoritedelaconcurrence.fr/fr/decision-de-controle-des-concentrations/relative-la-prise-de-controle-exclusif-des-societes-channel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23-DCC-101 of May 26, 2023  </w:t>
        <w:br/>
        <w:t xml:space="preserve">regarding the exclusive control acquisition of the companies Channel Auto and  </w:t>
        <w:br/>
        <w:t xml:space="preserve">Diffusion Commerciale Automobile by the Legrand group  </w:t>
        <w:br/>
        <w:t xml:space="preserve">The Competition Authority,  </w:t>
        <w:br/>
        <w:t xml:space="preserve">Having regard to the complete notification file sent to the mergers department on April 25, 2023,  </w:t>
        <w:br/>
        <w:t xml:space="preserve">concerning the exclusive control acquisition by the Legrand group, through the companies  </w:t>
        <w:br/>
        <w:t xml:space="preserve">Garage de l’Europe and Legrand Investissement, of the companies Channel Auto and Diffusion  </w:t>
        <w:br/>
        <w:t xml:space="preserve">Commerciale Automobile, formalized by a transfer and acquisition protocol dated  </w:t>
        <w:br/>
        <w:t xml:space="preserve">February 7,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by the companies Garage de l’Europe  </w:t>
        <w:br/>
        <w:t xml:space="preserve">and Legrand Investissement, which, together with their subsidiaries, form the Legrand group, of the companies  </w:t>
        <w:br/>
        <w:t xml:space="preserve">Channel Auto and Diffusion Commerciale, active in the sector of the distribution of Citroën brand automobiles in the departments of Calvados (14) and Manche (50).  </w:t>
        <w:br/>
        <w:t xml:space="preserve">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retail control thresholds mentioned in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23-116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