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https://www.autoritedelaconcurrence.fr/fr/decision-de-controle-des-concentrations/relative-la-prise-de-controle-exclusif-des-societes-clc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22-DCC-247 of December 28, 2022  </w:t>
        <w:br/>
        <w:t xml:space="preserve">regarding the exclusive control acquisition of the companies CLC Dijon and  </w:t>
        <w:br/>
        <w:t xml:space="preserve">CLC Nancy by the company Groupe David Gerbier  </w:t>
        <w:br/>
        <w:t xml:space="preserve">The Competition Authority,  </w:t>
        <w:br/>
        <w:t xml:space="preserve">Having regard to the complete notification file submitted to the mergers department on December 5, 2022,  </w:t>
        <w:br/>
        <w:t xml:space="preserve">concerning the exclusive control acquisition of the companies CLC Dijon and CLC Nancy by the  </w:t>
        <w:br/>
        <w:t xml:space="preserve">company Groupe David Gerbier, formalized by a transfer protocol dated December 5,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of the companies CLC Dijon and  </w:t>
        <w:br/>
        <w:t xml:space="preserve">CLC Nancy by the company Groupe David Gerbier, all three active in the leisure vehicle distribution sector. The operation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related to retail trade mentioned in II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22-320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