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https://www.autoritedelaconcurrence.fr/fr/decision-de-controle-des-concentrations/relative-la-prise-de-controle-exclusif-des-societes-coroi</w:t>
      </w:r>
    </w:p>
    <w:p>
      <w:r>
        <w:t>Pages translated : 2</w:t>
      </w:r>
    </w:p>
    <w:p/>
    <w:p>
      <w:r>
        <w:rPr>
          <w:b/>
        </w:rPr>
        <w:t>[Pages 1–2]</w:t>
      </w:r>
    </w:p>
    <w:p>
      <w:r>
        <w:t xml:space="preserve">FRENCH REPUBLIC  </w:t>
        <w:br/>
        <w:t xml:space="preserve">Decision No. 25-DCC-08 of January 24, 2025  </w:t>
        <w:br/>
        <w:t xml:space="preserve">regarding the exclusive control acquisition of Coroi and Coroi Agri companies  </w:t>
        <w:br/>
        <w:t>by the company Fila</w:t>
      </w:r>
    </w:p>
    <w:p>
      <w:r>
        <w:t>The Competition Authority,</w:t>
      </w:r>
    </w:p>
    <w:p>
      <w:r>
        <w:t xml:space="preserve">Having regard to the complete notification file sent to the mergers department on January 8, 2025,  </w:t>
        <w:br/>
        <w:t xml:space="preserve">concerning the exclusive control acquisition of Coroi and Coroi Agri companies by the company Fila  </w:t>
        <w:br/>
        <w:t xml:space="preserve">formalized by a share transfer agreement under suspensive conditions signed on  </w:t>
        <w:br/>
        <w:t>December 17, 2024;</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acquisition by the company Fila of the entirety of the capital and voting rights of the companies Coroi and Coroi Agri, which are active in the sectors of  </w:t>
        <w:br/>
        <w:t xml:space="preserve">industry, chemistry, distribution of agricultural supply products, and hygiene in  </w:t>
        <w:br/>
        <w:t xml:space="preserve">La Réunion (974). The operation constitutes a concentration within the meaning of Article L. 430-1 of the Commercial Code. Given the turnover achieved by the companies concerned,  </w:t>
        <w:br/>
        <w:t xml:space="preserve">the operation does not fall under the jurisdiction of the European Union. On the other hand, the control thresholds mentioned in III of Article L. 430-2 of the Commercial Code are exceeded. This  </w:t>
        <w:br/>
        <w:t>operation is therefore subject to the provisions of Articles L. 430-3 and following of the Commercial Code relating to economic concentration.</w:t>
      </w:r>
    </w:p>
    <w:p>
      <w:r>
        <w:t xml:space="preserve">2. In light of the elements of the file, the operation is not likely to harm competition  </w:t>
        <w:br/>
        <w:t>in the relevant markets.</w:t>
      </w:r>
    </w:p>
    <w:p>
      <w:r>
        <w:t xml:space="preserve">DECIDES  </w:t>
        <w:br/>
        <w:t xml:space="preserve">Sole Article: The operation notified under number 24-326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