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https://www.autoritedelaconcurrence.fr/fr/decision-de-controle-des-concentrations/relative-la-prise-de-controle-exclusif-des-societes-creche</w:t>
      </w:r>
    </w:p>
    <w:p>
      <w:r>
        <w:t>Pages translated : 23</w:t>
      </w:r>
    </w:p>
    <w:p/>
    <w:p>
      <w:r>
        <w:rPr>
          <w:b/>
        </w:rPr>
        <w:t>[Pages 1–3]</w:t>
      </w:r>
    </w:p>
    <w:p>
      <w:r>
        <w:t>Decision No. 22 - DCC-26 of February 28, 2022</w:t>
        <w:br/>
        <w:t>regarding the exclusive control of the companies Crèche Attitude,</w:t>
        <w:br/>
        <w:t>Pro’Formance, and Nemomarlin by the Grandir group</w:t>
        <w:br/>
        <w:t>The Competition Authority,</w:t>
        <w:br/>
        <w:t>Having regard to the notification file submitted in full to the merger service on January 25, 2022, regarding</w:t>
        <w:br/>
        <w:t>the exclusive control of the companies Crèche Attitude, Pro’Formance, and Nemomarlin by the Grandir</w:t>
        <w:br/>
        <w:t>group, formalized by a purchase promise dated July 27, 2021;</w:t>
        <w:br/>
        <w:t>Having regard to Book IV of the Commercial Code relating to price freedom and competition, and in</w:t>
        <w:br/>
        <w:t>particular its Articles L. 430-1 to L. 430-7;</w:t>
        <w:br/>
        <w:t>Having regard to the other documents in the file;</w:t>
        <w:br/>
        <w:t>Adopts the following decision:</w:t>
      </w:r>
    </w:p>
    <w:p>
      <w:r>
        <w:t>DECISION NO. 22 - DCC-26 OF MARCH 1, 2022 REGARDING THE EXCLUSIVE CONTROL</w:t>
        <w:br/>
        <w:t>OF THE COMPANIES CRÈCHE ATTITUDE, PRO’FORMANCE, AND NEMOMARLIN BY THE</w:t>
        <w:br/>
        <w:t>GRANDIR GROUP .................................................................................................................... 1</w:t>
        <w:br/>
        <w:t>I. THE COMPANIES INVOLVED AND THE OPERATION ......................................................... 4</w:t>
        <w:br/>
        <w:t>A. The Grandir group ........................................................................................................ 4</w:t>
        <w:br/>
        <w:t>B. The target companies .................................................................................................. 4</w:t>
        <w:br/>
        <w:t>C. The operation .............................................................................................................. 4</w:t>
        <w:br/>
        <w:t>II. DELIMITATION OF THE RELEVANT MARKETS ................................................................ 5</w:t>
        <w:br/>
        <w:t>A. The functioning of the formal childcare sector for young children in France ............ 5</w:t>
        <w:br/>
        <w:t>1. The operators in the sector ....................................................................................... 6</w:t>
        <w:br/>
        <w:t>2. Authorization for opening and operation ................................................................ 7</w:t>
        <w:br/>
        <w:t>3. The financing of childcare facilities for young children ........................................... 8</w:t>
        <w:br/>
        <w:t>a) The Family Allowance Fund .................................................................................. 8</w:t>
        <w:br/>
        <w:t>b) The State and local authorities .............................................................................. 9</w:t>
        <w:br/>
        <w:t>c) Third-party funders ............................................................................................... 9</w:t>
        <w:br/>
        <w:t>4. Access to formal childcare services ....................................................................... 10</w:t>
        <w:br/>
        <w:t>a) Access modalities to different childcare modes .................................................... 10</w:t>
        <w:br/>
        <w:t>b) The price of one hour of childcare for parents ..................................................... 11</w:t>
        <w:br/>
        <w:t>c) The criteria for choosing a childcare mode .......................................................... 12</w:t>
        <w:br/>
        <w:t>B. The markets for reservations by third-party funders of places within</w:t>
        <w:br/>
        <w:t>childcare facilities for young children ........................................................................... 12</w:t>
        <w:br/>
        <w:t>C. The market for the management of public childcare facilities for young children .... 14</w:t>
        <w:br/>
        <w:t>D. The market for the care of young children ................................................................. 15</w:t>
        <w:br/>
        <w:t>1. Service market ....................................................................................................... 15</w:t>
        <w:br/>
        <w:t>2. Geographical delimitation ...................................................................................... 15</w:t>
        <w:br/>
        <w:t>III. COMPETITIVE ANALYSIS ............................................................................................. 17</w:t>
        <w:br/>
        <w:t>A. Analysis of the effects of the operation on the markets for reservations by third-party</w:t>
        <w:br/>
        <w:t>funders of places within childcare facilities for young children ................................... 18</w:t>
        <w:br/>
        <w:t>a) Market for the reservation of places within childcare facilities for young children</w:t>
        <w:br/>
        <w:t>by national operators ............................................................................................... 18</w:t>
        <w:br/>
        <w:t>b) Markets for the reservation of places within childcare facilities for young children</w:t>
        <w:br/>
        <w:t>by local operators ..................................................................................................... 19</w:t>
        <w:br/>
        <w:t>c) Markets for the reservation of places within childcare facilities for young children</w:t>
        <w:br/>
        <w:t>by local authorities .................................................................................................... 19</w:t>
        <w:br/>
        <w:t>B. Analysis of the effects of the operation on the markets for the management of public</w:t>
        <w:br/>
        <w:t>childcare facilities for young children ........................................................................... 21</w:t>
        <w:br/>
        <w:t>C. Analysis of the effects of the operation on the market for the care of young children .. 21</w:t>
      </w:r>
    </w:p>
    <w:p>
      <w:r>
        <w:t>Summary1</w:t>
        <w:br/>
        <w:t>At the end of the following decision, the Competition Authority authorizes the exclusive control</w:t>
        <w:br/>
        <w:t>of the companies Crèche Attitude and Pro’Formance by the Grandir group, both active in the sector</w:t>
        <w:br/>
        <w:t>of formal childcare for young children.</w:t>
        <w:br/>
        <w:t>The Authority had not had the opportunity to analyze the functioning of this sector or to define</w:t>
        <w:br/>
        <w:t>the relevant markets to date. This sector includes childcare services provided by qualified professionals</w:t>
        <w:br/>
        <w:t>at their home, childminders, or within dedicated facilities, childcare establishments for young children</w:t>
        <w:br/>
        <w:t>(hereinafter "EAJE"). The Authority considers the existence of upstream markets and a downstream market.</w:t>
        <w:br/>
        <w:t>The upstream markets concern the marketing of childcare services within private childcare establishments</w:t>
        <w:br/>
        <w:t>to third parties for the needs of their employees or their constituents and the management of EAJE on behalf</w:t>
        <w:br/>
        <w:t>of public entities. The Authority has segmented the market for the reservation of childcare places within</w:t>
        <w:br/>
        <w:t>private EAJE into three:</w:t>
        <w:br/>
        <w:t>- The market for the reservation of places within EAJE by national private or public operators across</w:t>
        <w:br/>
        <w:t>the entire territory.</w:t>
        <w:br/>
        <w:t>- The markets for the reservation of places within EAJE by local private or public operators, who reserve</w:t>
        <w:br/>
        <w:t>places in areas corresponding to their usual place of activity.</w:t>
        <w:br/>
        <w:t>- The markets for the reservation of places within EAJE by local authorities to complement their public</w:t>
        <w:br/>
        <w:t>service offer for the care of young children.</w:t>
        <w:br/>
        <w:t>The Authority has segmented the downstream market for the care of young children into two: service</w:t>
        <w:br/>
        <w:t>offers for childcare by EAJE and service offers for childcare by childminders.</w:t>
        <w:br/>
        <w:t>At the conclusion of its competitive analysis, the Authority found that the operation leads to overlaps</w:t>
        <w:br/>
        <w:t>in activity across numerous markets.</w:t>
        <w:br/>
        <w:t>In the national and local markets for the reservation of places by private and public operators,</w:t>
        <w:br/>
        <w:t>any risk of harm to competition can be ruled out due to the presence of numerous competitors and the</w:t>
        <w:br/>
        <w:t>limited market shares of the new entity. In the markets for the reservation of places by local authorities,</w:t>
        <w:br/>
        <w:t>the new entity will have market shares below 25% in 23 overlapping areas. In the other 18 overlapping areas,</w:t>
        <w:br/>
        <w:t>the presence of competitors, the position of the parties, or the absence of reservations by local authorities</w:t>
        <w:br/>
        <w:t>within the EAJE of the parties leads to the exclusion of any risk of harm to competition due to the operation.</w:t>
        <w:br/>
        <w:t>In the markets for the management of public EAJE, the nature and functioning of these markets allow</w:t>
        <w:br/>
        <w:t>for the exclusion of any risk due to the operation.</w:t>
        <w:br/>
        <w:t>Finally, in the downstream market for the care of young children, the operation results in overlaps in</w:t>
        <w:br/>
        <w:t>174 catchment areas, of which 172 will have a market share of the new entity below 25%. In the remaining</w:t>
        <w:br/>
        <w:t>two areas, the market share of the parties will be above 40% but below 50%, and the presence of numerous</w:t>
        <w:br/>
        <w:t>competitors and a sufficient offer, particularly among childminders, allows for the exclusion of any risk of</w:t>
        <w:br/>
        <w:t>harm to competition.</w:t>
        <w:br/>
        <w:t>The Authority therefore authorized the operation unconditionally.</w:t>
        <w:br/>
        <w:t>1 This summary is purely informative. Only the reasons for the decision numbered below are authoritative.</w:t>
      </w:r>
    </w:p>
    <w:p>
      <w:r>
        <w:rPr>
          <w:b/>
        </w:rPr>
        <w:t>[Pages 4–6]</w:t>
      </w:r>
    </w:p>
    <w:p>
      <w:r>
        <w:t xml:space="preserve">I. The Companies Involved and the Operation  </w:t>
        <w:br/>
        <w:t xml:space="preserve">A. THE GRANDIR GROUP  </w:t>
        <w:br/>
        <w:t xml:space="preserve">1. Grandir is a simplified joint-stock company, a subsidiary of The Grandir Group, the holding company of the group of the same name. The Grandir Group specializes in the design, implementation, management, and operation of childcare facilities both in France and internationally.  </w:t>
        <w:br/>
        <w:t xml:space="preserve">2. As of today, the Grandir Group manages approximately 650 childcare facilities ("EAJE") in Europe and North America. The activities of the Grandir Group are operated under four main brands, including "Les Petits Chaperons Rouges" in France.  </w:t>
        <w:br/>
        <w:t xml:space="preserve">3. In 2021, the Grandir Group operated 421 nurseries in France, representing a total of […] places ([…] classic multi-care nurseries managed directly, representing a total of […] places; […] micro-nurseries managed directly, representing a total of […] places; […] municipal nurseries managed under public service delegation, representing a total of […] places). The group also has a network of 1600 partner nurseries.  </w:t>
        <w:br/>
        <w:t xml:space="preserve">4. The Grandir Group is currently jointly controlled by InfraVia V Invest, which is itself controlled by advised funds represented by their management company InfraVia Capital Partners, and by Athina Conseil, the holding company of the group's founder.  </w:t>
        <w:br/>
        <w:t xml:space="preserve">B. THE TARGET COMPANIES  </w:t>
        <w:br/>
        <w:t xml:space="preserve">5. Crèche Attitude SAS, Pro-formance SAS, and Nemomarlin Franchise SL (hereinafter, collectively, "the targets") constitute the childcare service activities of the Sodexo group.  </w:t>
        <w:br/>
        <w:t xml:space="preserve">6. Crèche Attitude and its subsidiaries operate, in France, 296 nurseries representing a total of […] places, under the Liveli brand ([…] classic multi-care nurseries managed directly, representing a total of […] places; […] micro-nurseries managed directly, representing a total of […] places; […] nurseries managed under public service delegation, representing a total of […] places). In addition, Crèche Attitude relies on a network of 1478 partner nurseries.  </w:t>
        <w:br/>
        <w:t xml:space="preserve">7. Pro’Formance is a training-accredited company whose purpose is to create, organize, promote, and provide continuing education actions for employees working within Crèche Attitude and its subsidiaries located in France. The training services provided by Pro’Formance correspond to purely internal services.  </w:t>
        <w:br/>
        <w:t xml:space="preserve">C. THE OPERATION  </w:t>
        <w:br/>
        <w:t xml:space="preserve">8. The notified operation consists of the acquisition by Grandir of all the capital and voting rights of the targets from Sodexo SA. Insofar as it results in the exclusive control of the targets by Grandir, the notified operation constitutes a concentration within the meaning of Article L. 430-1 of the Commercial Code.  </w:t>
        <w:br/>
        <w:t xml:space="preserve">2 The company Nemomarlin manages 38 nurseries in Spain and is not active in France.  </w:t>
        <w:br/>
        <w:t xml:space="preserve">3 Furthermore, the Grandir Group also acquires a non-controlling minority stake […] in IPSAA Holdings Private Limited, which operates childcare facilities in India, currently held by Sodexo.  </w:t>
        <w:br/>
        <w:t xml:space="preserve">[…]  </w:t>
        <w:br/>
        <w:t>4</w:t>
      </w:r>
    </w:p>
    <w:p>
      <w:r>
        <w:t xml:space="preserve">9. The companies involved together generate a total worldwide turnover of over 150 million euros (Grandir Group: [&gt; 150] million euros for the fiscal year ending 31/12/2020; targets: [&lt; 150] million euros for Crèche Attitude, and [&lt; 150] million euros for Nemomarlin Franchise for the fiscal year ending 31/08/2020). Each of these companies generates, in France, a turnover exceeding 50 million euros (Grandir Group: [&gt; 50] million euros for the fiscal year ending 31/12/2020; targets: [&gt; 50] million euros for the fiscal year ending 31/08/2020).  </w:t>
        <w:br/>
        <w:t xml:space="preserve">10.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11. The parties are active in the sector of childcare for children under 3 years old within establishments specialized in the care of young children.  </w:t>
        <w:br/>
        <w:t xml:space="preserve">12. The Competition Authority and the European Commission have not yet had the opportunity to rule on the existence of markets related to formal childcare for young children.  </w:t>
        <w:br/>
        <w:t xml:space="preserve">13. In the context of its investigation, the Authority has therefore analyzed the functioning of the sector in France (A). This analysis highlighted three distinct markets: a market connecting childcare facilities with third-party operators reserving childcare places for their employees or constituents (B), a market related to the management of childcare facilities on behalf of a public entity (C), and a market connecting the supply of formal childcare by qualified establishments or professionals with parents of young children (D).  </w:t>
        <w:br/>
        <w:t xml:space="preserve">A. THE FUNCTIONING OF THE FORMAL CHILDCARE SECTOR FOR YOUNG CHILDREN IN FRANCE  </w:t>
        <w:br/>
        <w:t xml:space="preserve">14. The formal childcare sector for young children is heavily regulated in France and underwent a major reform in 2021. The regulation is ensured by the services of maternal and child protection (PMI) which depend on the presidents of departmental councils, and by the services of the National Family Allowance Fund. The care of young children is defined by the Code of Social Action and Families as consisting of "regularly or occasionally taking care of one or more young children at the request of their parents or legal guardians in their absence or, as needed or temporarily, in their presence."  </w:t>
        <w:br/>
        <w:t xml:space="preserve">4 The parties are also active, as a secondary activity, in the markets for the supply of childcare articles, toys, and out-of-home catering services. Given the purchasing volume of the parties and the referenced suppliers, it appears that the operation is not likely to have effects on these markets. These will not be subject to in-depth analysis in the context of this decision.  </w:t>
        <w:br/>
        <w:t xml:space="preserve">5 Ordinance No. 2021-611 of May 19, 2021, relating to services for families. A number of new provisions came into force on September 1, 2021; however, transitional provisions, particularly in the implementing decrees (Article 15 of Decree No. 2021-1131 of August 30, 2021, relating to childminders and childcare facilities), allow them to defer compliance with these provisions until 2022 or 2026, depending on the case.  </w:t>
        <w:br/>
        <w:t xml:space="preserve">6 Article L. 214-1-1 of the Code of Social Action and Families.  </w:t>
        <w:br/>
        <w:t>5</w:t>
      </w:r>
    </w:p>
    <w:p>
      <w:r>
        <w:t xml:space="preserve">1. THE OPERATORS IN THE SECTOR  </w:t>
        <w:br/>
        <w:t xml:space="preserve">15. The regulation recognizes three so-called formal modes of childcare, which cover individual or collective care solutions and generally entitle to funding from family allowance funds. Within the formal modes of childcare, we distinguish between home employees, licensed childminders, and childcare facilities (hereinafter "EAJE").  </w:t>
        <w:br/>
        <w:t xml:space="preserve">16. The EAJE include different types of establishments offering childcare services for children from 2 and a half months to 6 years old, which are distinguished by the rules that apply to them, particularly in terms of staff and supervision, and by the number of cradles they offer:  </w:t>
        <w:br/>
        <w:t xml:space="preserve">- family nurseries (services employing licensed childminders who care for children at home and allow for regrouping times in the nursery premises, these structures can accommodate 90 children or more),  </w:t>
        <w:br/>
        <w:t xml:space="preserve">- collective nurseries (maximum 60 cradles),  </w:t>
        <w:br/>
        <w:t xml:space="preserve">- parental collective nurseries, associative nurseries managed by the parents of the children being cared for (maximum 24 cradles),  </w:t>
        <w:br/>
        <w:t xml:space="preserve">- micro-nurseries (maximum 12 cradles),  </w:t>
        <w:br/>
        <w:t xml:space="preserve">- multi-care nurseries, collective care establishments that group several reception units (the reception units are nurseries or daycare centers, each reception unit can accommodate up to 60 children),  </w:t>
        <w:br/>
        <w:t xml:space="preserve">- daycare centers, which offer occasional childcare services for children under 3 years old (maximum 60 places), and  </w:t>
        <w:br/>
        <w:t xml:space="preserve">- kindergartens, which welcome children from eighteen months and older (maximum 80 places).  </w:t>
        <w:br/>
        <w:t xml:space="preserve">17. Kindergartens offer a preschool care service that is halfway between collective nurseries and kindergarten. Before September 1, 2019, these establishments could provide education for children between 3 and 6 years old in competition with kindergartens. Since that date, education is mandatory, either at home or in kindergarten from the age of 3. Thus, given their particularities, notably the fact that kindergartens aimed to provide alternatives to schooling within kindergartens rather than childcare services for young children, these modes of care will not be covered by the developments that follow and will not be included in the analysis of the competitive effects of this operation.  </w:t>
        <w:br/>
        <w:t xml:space="preserve">7 Ibid.  </w:t>
        <w:br/>
        <w:t xml:space="preserve">8 Article R. 2324-17 of the Public Health Code.  </w:t>
        <w:br/>
        <w:t xml:space="preserve">9 Article R. 2324-48 of the Public Health Code.  </w:t>
        <w:br/>
        <w:t xml:space="preserve">10 Article R. 2324-46 of the Public Health Code.  </w:t>
        <w:br/>
        <w:t xml:space="preserve">11 Article R. 2324-50 of the Public Health Code.  </w:t>
        <w:br/>
        <w:t xml:space="preserve">12 Article R. 2324-46 of the Public Health Code.  </w:t>
        <w:br/>
        <w:t xml:space="preserve">13 Article R. 2324-47 of the Public Health Code.  </w:t>
        <w:br/>
        <w:t xml:space="preserve">14 Article L. 131-1 of the Education Code. The awakening gardens, kindergartens welcoming children between 2 and 6 years old to prepare for their integration into primary education, may continue to welcome children until the end of the 2023-2024 school year.  </w:t>
        <w:br/>
        <w:t>6</w:t>
      </w:r>
    </w:p>
    <w:p>
      <w:r>
        <w:rPr>
          <w:b/>
        </w:rPr>
        <w:t>[Pages 7–9]</w:t>
      </w:r>
    </w:p>
    <w:p>
      <w:r>
        <w:t>18. The management of EAJE primarily falls under local authorities15 (mainly municipalities16) or associations governed by the 1901 law. Other potentially managing entities include family allowance funds (CAF), for-profit private organizations, and, to a more limited extent, mutual insurance companies or works councils.</w:t>
      </w:r>
    </w:p>
    <w:p>
      <w:r>
        <w:t>19. The proportion of private companies has seen significant growth in recent years. There is a great diversity of statuses and operational modalities. Some players, such as Babilou, People&amp;Baby, or La Maison Bleue, have brands that encompass hundreds of EAJE and several thousand cradles spread across the entire French territory, generally near urban centers. These operators, like the parties, also rely on networks of partners comprising several thousand EAJE. Other players, such as Les Petites Canailles, are more locally focused. While they group several dozen establishments, they are more concentrated in a specific geographical area. Finally, some operators run EAJE under a non-profit associative model.</w:t>
      </w:r>
    </w:p>
    <w:p>
      <w:r>
        <w:t>20. Alongside these companies, operators act as brokerage firms offering cradles within partner nurseries to third-party funders and individuals (such is the case, in particular, of the site crèchespourtous.com, which is part of the People &amp; Baby company, or the site maplaceencreche.com, an independent operator that references partner EAJE to offer childcare solutions to parents or employers).</w:t>
      </w:r>
    </w:p>
    <w:p>
      <w:r>
        <w:t>21. Childminders can operate at home or within childminder houses. These professionals are generally employed directly by individuals but can also be employed by legal entities under public or private law. Childminders represent the majority of the childcare service offer for young children in France17.</w:t>
      </w:r>
    </w:p>
    <w:p>
      <w:r>
        <w:t>22. Only EAJE and childminders are subject to a specific exercise authorization (application for authorization for the creation, transformation, or extension for the former and application for approval for the latter).</w:t>
      </w:r>
    </w:p>
    <w:p>
      <w:r>
        <w:t>23. Home employees are directly employed by individuals and fall under the regulations provided by the Labor Code18 but do not require any exercise authorization. The specificities of using this type of childcare and their limited share in the sector's offer have led, in this case, to their exclusion from the market analysis.</w:t>
      </w:r>
    </w:p>
    <w:p>
      <w:r>
        <w:t>2. AUTHORIZATION FOR OPENING AND OPERATION</w:t>
      </w:r>
    </w:p>
    <w:p>
      <w:r>
        <w:t>24. Operators, whether private or public legal entities, wishing to open or expand an EAJE are subject to an authorization (a license) issued by the President of the departmental council19, after consulting the mayor of the municipality where the operator is a private individual or legal entity.</w:t>
      </w:r>
    </w:p>
    <w:p>
      <w:r>
        <w:t>25. The application for authorization to open an EAJE must include a certain number of elements, including a needs assessment, objectives, reception modalities, and means implemented based on the public received and the local context. EAJE are subject to strict regulations provided by the Public Health Code20, particularly in terms of child supervision and operation (presence of qualified staff, doctors when the establishment accommodates more than 10 children, etc.), provisions, and size of premises.</w:t>
      </w:r>
    </w:p>
    <w:p>
      <w:r>
        <w:t>26. Depending on their capacity21, EAJE are subject to different obligations regarding the supervision of the structure, the number of qualified staff to care for the children, and the size of the premises.</w:t>
      </w:r>
    </w:p>
    <w:p>
      <w:r>
        <w:t>27. Childminders are also subject to an exercise approval from the president of the departmental council. This approval aims to ensure that the material and training conditions are met for the reception of young children and that the applicant's health status allows them to practice this profession. The approval is limited to a duration of 5 years and must be renewed, which can be granted for 10 years22.</w:t>
      </w:r>
    </w:p>
    <w:p>
      <w:r>
        <w:t>28. The compliance with these provisions is monitored by the PMI services.</w:t>
      </w:r>
    </w:p>
    <w:p>
      <w:r>
        <w:t>3. FINANCING OF CHILDCARE ESTABLISHMENTS</w:t>
      </w:r>
    </w:p>
    <w:p>
      <w:r>
        <w:t>a) The Family Allowance Fund</w:t>
      </w:r>
    </w:p>
    <w:p>
      <w:r>
        <w:t>29. The main funding body for formal childcare for young children is the Family Allowance Fund, which does so through three mechanisms: (i) the unique service benefit (hereinafter "PSU"), (ii) the choice of childcare allowance (hereinafter "CMG"), and (iii) the investment plan for the reception of young children.</w:t>
      </w:r>
    </w:p>
    <w:p>
      <w:r>
        <w:t>Unique service benefit (PSU).</w:t>
      </w:r>
    </w:p>
    <w:p>
      <w:r>
        <w:t>30. The current operating subsidy granted to EAJE managers is the unique service benefit (PSU). This aid is directly paid to establishments that have obtained approval from the PMI services, and any type of manager (public, associative, private company) can claim it.</w:t>
      </w:r>
    </w:p>
    <w:p>
      <w:r>
        <w:t>31. In return for this funding, managers of subsidized EAJE under PSU calculate family contributions according to a national scale set by the CAF, which depends on income and the number of dependent children in households. Thus, for equivalent income and number of dependent children, parents will pay the same out-of-pocket expense in any PSU EAJE. The PSU complements family contributions: the lower the family's income, the higher the CAF subsidy.</w:t>
      </w:r>
    </w:p>
    <w:p>
      <w:r>
        <w:t>32. PSU nurseries are generally collective nurseries or multi-care nurseries. The number of places offered by PSU EAJE is primarily between 11 and 2023.</w:t>
      </w:r>
    </w:p>
    <w:p>
      <w:r>
        <w:t>Choice of childcare (CMG)</w:t>
      </w:r>
    </w:p>
    <w:p>
      <w:r>
        <w:t>33. This aid is aimed at parents using a non-contracted PSU EAJE, an approved childminder, or a home employee to care for their child. This aid is part of the "Young Child Reception Benefit" (hereinafter "PAJE"), which includes various social aids intended to assist parents at the time of the birth or adoption of a child24.</w:t>
      </w:r>
    </w:p>
    <w:p>
      <w:r>
        <w:t>34. Two types of CMG should be distinguished: the CMG remuneration, which covers part of the parents' expenses for the remuneration of their childminder or home employee, and the CMG structure, which covers part of the parents' expenses for the care of their child in a subsidized EAJE under PAJE. In both cases, the CMG is paid directly to the parent by the CAF, and its amount varies according to income, the number of dependent children in the family, and the age of the child being cared for. However, a minimum of 15% of the expense remains the responsibility of the parents.</w:t>
      </w:r>
    </w:p>
    <w:p>
      <w:r>
        <w:t>35. The payment of the CMG constrains, to a certain extent, the pricing requested from parents by the EAJE or the childminder. In the case of EAJE under PAJE agreements, pricing is free. Managers do not receive operating subsidies from the CAF, as this portion is directly reimbursed to the parent via the CMG structure. However, if the rate applied by the EAJE exceeds €10 per hour, parents will not be able to benefit from the CMG structure. Similarly, the remuneration of approved childminders must not exceed a daily ceiling of €51.25 gross for parents to benefit from the CMG remuneration.</w:t>
      </w:r>
    </w:p>
    <w:p>
      <w:r>
        <w:t>36. PAJE-contracted micro-nurseries represent the majority of the micro-nursery childcare offer25.</w:t>
      </w:r>
    </w:p>
    <w:p>
      <w:r>
        <w:t>Investment plan for the reception of young children</w:t>
      </w:r>
    </w:p>
    <w:p>
      <w:r>
        <w:t>37. As part of the investment plan for the reception of young children ("PIAJE"), the CAF can grant an investment subsidy to cover the opening costs of an EAJE. EAJE benefiting from the PSU and applying the national scale for calculating family contributions are eligible for the PIAJE subsidy. Under certain strictly defined conditions, PAJE micro-nurseries that only accommodate children whose parents receive the CMG structure are also eligible for the PIAJE subsidy.</w:t>
      </w:r>
    </w:p>
    <w:p>
      <w:r>
        <w:t>38. The granting of this aid is subject to the CAF's discretion, which may refuse to finance certain nursery creation projects when it deems that the effective childcare offer, taking into account childminders, in the territory is sufficiently developed.</w:t>
      </w:r>
    </w:p>
    <w:p>
      <w:r>
        <w:t>b) The State and local authorities</w:t>
      </w:r>
    </w:p>
    <w:p>
      <w:r>
        <w:t>39. In addition to these direct aids from the CAF, all formal childcare modes entitle parents to a tax credit of 50% of the amount spent after deducting reimbursements paid by the CAF. For care in EAJE and approved childminders, this tax credit is granted up to €1,150 per year; for home employees, the ceiling is €6,000 per year.</w:t>
      </w:r>
    </w:p>
    <w:p>
      <w:r>
        <w:t>c) Third-party funders</w:t>
      </w:r>
    </w:p>
    <w:p>
      <w:r>
        <w:t>40. For private operators, whether for-profit or not, the financing of the EAJE can also be supported by third-party funders who reserve places for their constituents in the case of local authorities or for their employees. For local authorities, financing mainly occurs through reservation contracts for places. Access to places is then not managed by the operator but by the reserving public entity. For employers, third-party funders can be private or public employers who reserve places for their employees. Depending on the size of the employer in question and its needs, the reservation can be one-off or recurring, localized or across the entire territory. Some reservers, public or private, may resort to calls for tenders.</w:t>
      </w:r>
    </w:p>
    <w:p>
      <w:r>
        <w:rPr>
          <w:b/>
        </w:rPr>
        <w:t>[Pages 10–12]</w:t>
      </w:r>
    </w:p>
    <w:p>
      <w:r>
        <w:t xml:space="preserve">41. The price attached to this reservation of a place is not regulated, and the contract most often concerns the reservation of a cradle for one year or more.  </w:t>
        <w:br/>
        <w:t xml:space="preserve">42. In this context, to meet the demand of large third-party funders, private for-profit nursery operators of sufficient size, as well as third-party companies acting as reservation centers, try to aggregate networks of partner nurseries around them in order to have a larger network than their own establishments and thus be able to respond to employers' requests. Some operators who do not have their own nurseries have developed activities based solely on this connection between nurseries and third-party employers.  </w:t>
        <w:br/>
        <w:t xml:space="preserve">43. It should be noted that the State grants tax deductions to private third-party funders contributing to the financing of childcare for their employees, via the Family Tax Credit (CIF). The CIF can thus be granted to companies incurring "expenses aimed at financing the creation and operation of a daycare center and a nursery, either operated directly by the company or operated on an inter-company basis. They must ensure the reception of children under 3 years old of the company's employees." It also covers "payments made directly by the company for the care of dependent children under 3 years old of its employees by public or private organizations operating a nursery or daycare center." This tax credit corresponds to 50% of the expenses, and its amount is capped at €500,000 per year. Self-employed professionals and micro-enterprises do not benefit from this tax credit.  </w:t>
        <w:br/>
        <w:t xml:space="preserve">4. ACCESS TO FORMAL CHILDCARE SERVICES  </w:t>
        <w:br/>
        <w:t xml:space="preserve">a) Access modalities to different modes of childcare  </w:t>
        <w:br/>
        <w:t xml:space="preserve">44. There are several access modalities to childcare modes, which depend on the type of childcare considered and the type of establishments. For EAJE, two can be distinguished.  </w:t>
        <w:br/>
        <w:t xml:space="preserve">45. Regarding municipal nurseries, nurseries operated under a public service delegation (DSP), or private nurseries whose places have been reserved by a local authority, places are allocated by the town hall following an allocation commission, after the parents have submitted a file to the town hall. These commissions allocate these places according to criteria that may include a social dimension. In some cases, such as a one-time childcare need, access to places may be direct at the level of the establishments.  </w:t>
        <w:br/>
        <w:t xml:space="preserve">46. For other establishments, access to places is organized by the operators themselves. In the case of large companies operating a network of EAJE of national dimension (like the notifying party and the target), the marketing of these places most often goes through internet platforms. Access to these places can also be made through third-party reservation platforms or directly with the establishments. Finally, some third-party funders organize their own internal procedures to allocate the places they reserve for their employees.  </w:t>
        <w:br/>
        <w:t xml:space="preserve">47. Access to licensed childminders is free, through contact between parents and childminders, which can be organized or facilitated by local authorities or the CAF. In particular, platforms set up by the Caisse d’allocations familiales and the Union for the Collection of Social Security Contributions and Family Allowances allow for the online search for childminders.  </w:t>
        <w:br/>
        <w:t xml:space="preserve">48. Networks of childminders, in addition to constituting support and reception structures for professionals, also offer a point of contact for parents.  </w:t>
        <w:br/>
        <w:t xml:space="preserve">b) The price of an hour of childcare for parents  </w:t>
        <w:br/>
        <w:t xml:space="preserve">49. As mentioned earlier, the cost of different modes of childcare primarily depends on their financing.  </w:t>
        <w:br/>
        <w:t xml:space="preserve">50. Thus, for nurseries financed through the PSU scheme, EAJE managers calculate family contributions according to a national scale set by the CAF, which depends on income and the number of dependent children in households. With equivalent income and number of dependent children, parents will therefore pay the same out-of-pocket expense in any PSU EAJE, regardless of the status of the manager (public, associative, private company). Some marginal adjustments are possible, but regulated by the Caisse des allocations familiales.  </w:t>
        <w:br/>
        <w:t xml:space="preserve">51. In the case of "PAJE" EAJE that are not PSU-contracted, pricing remains free. However, the cap of €10 per hour of childcare, which conditions families' ability to benefit from the "CMG" benefit, effectively constitutes a limit for operators wishing to attract parents. In some cases, the employer reserving places within an EAJE can also significantly reduce the cost for its employees benefiting from these reservations by subsidizing the cost of the hour of care.  </w:t>
        <w:br/>
        <w:t xml:space="preserve">52. Furthermore, since January 1, 2022, the employer's subsidy for the childcare costs of a young child within a nursery or micro-nursery can be considered a benefit in kind subject to mandatory contributions, as long as this contribution exceeds €1,830 per year per employee and leads to a reduction in the prices normally charged by the establishment for the employee. According to several operators in the sector interviewed as part of this instruction, this legal change will lead to a convergence between the price of a PSU nursery and that of a PAJE nursery. Indeed, PAJE establishments, whose pricing is free, will be encouraged to moderate the price of an hour of care subject to employer subsidy, in order to avoid excessive costs for both the employee and the employer due to the application of rules regarding mandatory contributions on benefits in kind to this subsidy.  </w:t>
        <w:br/>
        <w:t xml:space="preserve">53. Finally, regarding childminders, the price is freely set by contract with the parents. Nevertheless, the cap on gross daily remuneration (€52.63), which conditions the benefit of the "CMG" benefit for parents, also contributes to disciplining the prices charged by these actors.  </w:t>
        <w:br/>
        <w:t xml:space="preserve">54. It is not easy to compare the actual cost for parents between different modes of childcare, given that it will depend on their economic and family situation and the presence or absence of a third-party funder. Thus, data published by the Early Childhood Observatory suggest that there are cost differences between PSU EAJE, generally the cheapest, childminders, and PAJE EAJE, which are generally the most expensive. However, they show that these gaps are mitigated by the modulation of subsidy schemes, which can intervene quite late after the payment of the childcare benefit (similar to the income tax credit), and by the presence of third-party funders for EAJE.  </w:t>
        <w:br/>
        <w:t xml:space="preserve">c) Criteria for choosing a mode of childcare  </w:t>
        <w:br/>
        <w:t xml:space="preserve">55. Various studies conducted by the services of the Caisse nationale d’allocations familiales show that, for parents, proximity prevails in the choice of the type of childcare mode, along with the possibility of maintaining the same mode of care until the child starts school.  </w:t>
        <w:br/>
        <w:t xml:space="preserve">56. While it appears that parents seem to prioritize collective nurseries first, these are not the majority among the childcare modes used by parents. Indeed, in 2019, 18% of families used a collective nursery, 4% a micro-nursery, and 29% a childminder. This can be explained by the more limited number of available places in EAJE.  </w:t>
        <w:br/>
        <w:t xml:space="preserve">57. Thus, it seems relevant to consider that, while childminders and EAJE offer equivalent services, these two modes of care are not directly competing in the same market segment. Nevertheless, childminders represent a valid alternative or substitute choice for parents. Therefore, the competitive pressure exerted on EAJE cannot be completely dismissed.  </w:t>
        <w:br/>
        <w:t xml:space="preserve">B. MARKETS FOR RESERVATION BY THIRD-PARTY FUNDERS OF PLACES IN CHILDCARE ESTABLISHMENTS  </w:t>
        <w:br/>
        <w:t xml:space="preserve">58. The importance of place reservations by third-party funders, both public and private, for operators comparable to the parties has been confirmed in the context of a market test conducted among the competitors of the parties.  </w:t>
        <w:br/>
        <w:t xml:space="preserve">59. The share of cradles reserved by third-party funders represents the vast majority of places marketed by the parties, respectively [80-90]% for the Grandir group and [90-100]% for the Liveli group. While the proportions vary from one operator to another, overall, the responses to the market test highlight the essential nature of this source of funding, both for EAJE operators and for parents, for whom this participation leads to a reduction in their own contribution to costs.  </w:t>
        <w:br/>
        <w:t xml:space="preserve">60. There is therefore a commercial relationship between, on the one hand, private EAJE operators, whether for-profit or not, and on the other hand, third-party funders who reserve or pre-reserve cradles for the needs of their employees or for those of their constituents. It should be noted that a number of private nurseries with a specific model, such as parental or family nurseries, are not active in this market as they are not intended to meet this type of demand.  </w:t>
        <w:br/>
        <w:t xml:space="preserve">61. The types of contracts and reservation modalities vary depending on the number of cradles considered and the identity of the actors reserving them, thus allowing for the distinction of three distinct markets.  </w:t>
        <w:br/>
        <w:t>62. First, some third-party funders reserve or reference several cradles spread across several departments, several regions, or across the entire national territory. The use of referencing rather than reservation allows them to adjust the number of reservations according to actual needs. These third-party funders can be legal entities under private or public law, whose activities are most often spread across several sites.</w:t>
      </w:r>
    </w:p>
    <w:p>
      <w:r>
        <w:rPr>
          <w:b/>
        </w:rPr>
        <w:t>[Pages 13–15]</w:t>
      </w:r>
    </w:p>
    <w:p>
      <w:r>
        <w:t>généralement de grandes entreprises, d’entreprises de taille intermédiaire ou d’administrations publiques.</w:t>
      </w:r>
    </w:p>
    <w:p>
      <w:r>
        <w:t>63. These reservations can be made with private EAJE operators or online reservation centers. In this market, applicants may resort to tendering procedures.</w:t>
      </w:r>
    </w:p>
    <w:p>
      <w:r>
        <w:t>64. Given the nature of the demand, which covers several regions that vary according to the situation of each funding third party, and the diffuse nature, across the national territory, of the geographical footprint of EAJE operators likely to meet this demand (directly or through their networks), such a market has a national dimension.</w:t>
      </w:r>
    </w:p>
    <w:p>
      <w:r>
        <w:t>65. Conversely, other funding third parties, generally small and medium-sized enterprises or liberal professions, face a specific need in a defined area. Most often, the contract, negotiated directly, will concern the reservation of a very limited number of cradles (between one and five) that will be located in the immediate vicinity of the company and the living area of its employees. The theoretical reservation area can therefore vary greatly, depending both on the type of reserving party considered and the specific needs of its employees. However, it remains quite limited.</w:t>
      </w:r>
    </w:p>
    <w:p>
      <w:r>
        <w:t>66. Indeed, in this case, the buyer's demand is constrained by the place of residence of the family for whose benefit the reservation is made. The geographical delimitation of the market must therefore take into account both the activity space of the reserving third party and the living location of its employees.</w:t>
      </w:r>
    </w:p>
    <w:p>
      <w:r>
        <w:t>67. The notifying party proposed to retain as the geographical delimitation the areas corresponding to the various employment basins identified by the National Institute of Statistics and Economic Studies.</w:t>
      </w:r>
    </w:p>
    <w:p>
      <w:r>
        <w:t>68. The employment area is defined as "a geographical space within which most of the active population resides and works, and within which establishments can find the bulk of the workforce necessary to fill the jobs offered. […] The updated division is based on the commuting flows of the active population observed."</w:t>
      </w:r>
    </w:p>
    <w:p>
      <w:r>
        <w:t>69. This delimitation appears relevant as it covers the area in which the employees of the funding third party, for whose benefit the reservation of places is made, reside. In this case, the competitive analysis was therefore conducted in these areas. In any case, the question of the exact delimitation of the local market can be left open.</w:t>
      </w:r>
    </w:p>
    <w:p>
      <w:r>
        <w:t>70. Finally, it is necessary to highlight, in the context of the analysis of this market, the reservation of places by local public administrations with private EAJE to meet the needs of their constituents. These reservations are made by local actors competent in early childhood matters, namely municipalities, and in cases where this competence has been delegated, public establishments for intercommunal cooperation (EPCI) and metropolises. Generally, these reservations go through public contracts for the reservation of places, for a determined number of places for the duration of the contract, or within the framework of a contract with purchase orders, and are subject to the public procurement code. This market thus connects local authorities reserving places in nurseries for their constituents and the various private EAJE operators present in the jurisdiction of the local authority.</w:t>
      </w:r>
    </w:p>
    <w:p>
      <w:r>
        <w:t>71. Local authorities may opt for a comprehensive contract, divided according to the different needs of the residential areas of the municipality, or for a separate public contract by areas of need. The selection of the contract awardees includes a number of criteria, including price and the educational project associated with the structures.</w:t>
      </w:r>
    </w:p>
    <w:p>
      <w:r>
        <w:t>72. The places thus reserved are intended to be allocated by the local authority within the framework of its own procedures, with the beneficiary of the reservation contract merely ensuring the reception of the child. Consequently, the relevant geographical delimitation for this contract will correspond to the jurisdiction of the concerned local authority (municipality or EPCI or metropolis, in the event that such jurisdiction has been delegated to them). In this case, the analysis was conducted at the level of the competent authority for each EAJE of the concerned parties.</w:t>
      </w:r>
    </w:p>
    <w:p>
      <w:r>
        <w:t>73. On the other hand, a segmentation of the different markets for the reservation of places in EAJE that have just been presented by types of childcare establishments or by type of funding modality (PSU/PAJE) does not appear relevant at this stage. Indeed, the reservation concerns only the EAJE managed directly by private operators and for which they control the allocation of places, mainly collective nurseries and micro-nurseries. All of these establishments may be concerned by these place reservations, the price of which depends on the commercial negotiation capabilities of each operator.</w:t>
      </w:r>
    </w:p>
    <w:p>
      <w:r>
        <w:t>74. Given the above, it is appropriate to distinguish: (i) the market for reservations made by large accounts, public or private, at a national level, (ii) that of reservations by reserving third parties, at the level of their employment area, and (iii) that of reservations by local public administrations, at the level of the public authority that initiated the said reservation.</w:t>
      </w:r>
    </w:p>
    <w:p>
      <w:r>
        <w:t>75. In any case, the question of the exact definition of the market can be left open, as the conclusions of the competitive analysis remain unchanged, regardless of the delimitation retained.</w:t>
      </w:r>
    </w:p>
    <w:p>
      <w:r>
        <w:t>C. THE MARKET FOR THE MANAGEMENT OF PUBLIC ESTABLISHMENTS FOR YOUNG CHILDREN</w:t>
      </w:r>
    </w:p>
    <w:p>
      <w:r>
        <w:t>76. In the context of implementing their early childhood policy, local authorities may manage EAJE directly (in-house). They may also decide to entrust the management of their establishments to private operators within the framework of public service concession contracts.</w:t>
      </w:r>
    </w:p>
    <w:p>
      <w:r>
        <w:t>77. The awarding of this type of public contract constitutes an economic activity deployed in a market where competition occurs with each new call for tenders. In this market, since the EAJE is generally pre-existing, it is not the capacity for reception that a manager might have in another nursery that determines the competitive pressure they exert, but their ability to manage the establishment throughout the delegation mandate.</w:t>
      </w:r>
    </w:p>
    <w:p>
      <w:r>
        <w:t>78. Thus, all managers located in the surrounding region of the nursery or having the capacity to establish themselves there, whether they are associations or private companies, and regardless of the reception capacity they have in other nearby establishments or their national footprint, are potentially competitors for obtaining the concession. In this context, local actors who may be less advantaged from a technical standpoint in responding to tenders requiring complex legal expertise could compensate for this disadvantage with their knowledge of the local context. The presence of the operator in a nearby area could also facilitate their establishment, for example, by easing the recruitment of staff.</w:t>
      </w:r>
    </w:p>
    <w:p>
      <w:r>
        <w:t>79. Given these elements, it appears that while the market for the management of public establishments for young children does not seem to be of local dimension, it could have a dimension less than national. In this case, given the rules specific to public contracts and the elements presented by the notifying party tending to show the absence of preference for local actors in the awarding of contracts, a national approach has been adopted to assess the effects of the operation.</w:t>
      </w:r>
    </w:p>
    <w:p>
      <w:r>
        <w:t>D. THE MARKET FOR CHILDCARE</w:t>
      </w:r>
    </w:p>
    <w:p>
      <w:r>
        <w:t>1. SERVICE MARKET</w:t>
      </w:r>
    </w:p>
    <w:p>
      <w:r>
        <w:t>80. The market for formal childcare for young children connects providers offering childcare services for children not yet of school age with families who, due to their professional activity (or personal choice), are unable to (or do not wish to) care for their children themselves during the day.</w:t>
      </w:r>
    </w:p>
    <w:p>
      <w:r>
        <w:t>81. In terms of the nature of the services provided, care in EAJE and by a childminder meets the same need (the regular care of young children by early childhood professionals) and addresses a common demand. These two modes of care indeed allow for the regular care of young children, generally full-time, under conditions that ensure the well-being and safety of the children (provision of meals, diaper changes, and, if necessary, medical supervision) and promote their awakening, socialization, and physical, psychological, and emotional development.</w:t>
      </w:r>
    </w:p>
    <w:p>
      <w:r>
        <w:t>82. Furthermore, from the perspective of the quality of childcare services in terms of safety, hygiene, and well-being of young children, the existence of strict regulatory oversight of EAJE and childminders, applicable both from the creation of the activity and throughout its operation, guarantees a similar theoretical level of service between these two modes of care.</w:t>
      </w:r>
    </w:p>
    <w:p>
      <w:r>
        <w:t>83. However, the modalities, organization, and costs differ greatly between PSU-contracted EAJE, PAJE-contracted EAJE, and childminders. Thus, these different modes of care offer, in some respects, services that are not exactly identical.</w:t>
      </w:r>
    </w:p>
    <w:p>
      <w:r>
        <w:t>84. In particular, in the case of childminders, the service provider is in an employer/employee relationship with the parents. Conversely, in the case of an EAJE, the relationship occurs within a formal, even institutionalized framework for public EAJE.</w:t>
      </w:r>
    </w:p>
    <w:p>
      <w:r>
        <w:t>85. Given the specificities inherent to these two formal modes of care, a segmentation between childcare establishments (collective nurseries and micro-nurseries) and childminders seems feasible.</w:t>
      </w:r>
    </w:p>
    <w:p>
      <w:r>
        <w:t>86. Nevertheless, the competition exerted by childminders on EAJE operators is real, and the presence of a sufficient supply of places with childminders can be integrated into a more qualitative analysis of the supply of places in certain areas.</w:t>
      </w:r>
    </w:p>
    <w:p>
      <w:r>
        <w:t>87. In any case, the question of the exact definition of the market can be left open, as the conclusions of the competitive analysis remain unchanged, regardless of the delimitation retained.</w:t>
      </w:r>
    </w:p>
    <w:p>
      <w:r>
        <w:t>2. GEOGRAPHICAL DELIMITATION</w:t>
      </w:r>
    </w:p>
    <w:p>
      <w:r>
        <w:t>88. As indicated, it is the proximity and sustainability of the childcare solution that appear to be the most important organizational criteria for families in the</w:t>
      </w:r>
    </w:p>
    <w:p>
      <w:r>
        <w:rPr>
          <w:b/>
        </w:rPr>
        <w:t>[Pages 16–18]</w:t>
      </w:r>
    </w:p>
    <w:p>
      <w:r>
        <w:t>choosing a mode of childcare. The local dimension of the childcare market for young children therefore seems established.</w:t>
      </w:r>
    </w:p>
    <w:p>
      <w:r>
        <w:t>89. In order to refine this analysis, and in accordance with the guidelines of the Competition Authority regarding the control of concentrations (hereinafter, "the Guidelines"), it is necessary to assess: "the reality of exchange flows, the actual distance traveled by suppliers or by demanders to the meeting point of supply and demand, the availability of the goods in question for consumers in a geographical area [...]".</w:t>
      </w:r>
    </w:p>
    <w:p>
      <w:r>
        <w:t>90. In this regard, the Guidelines specify that "the local area analyzed is centered on the target sales point" and that, when data is available, the notifying party can conduct the local analysis based not on isochrone areas, but on "actual footprints". The areas estimated by the actual footprint method allow, since they correspond to the geographical area in which 80% of the clients of the target establishments reside, to obtain an accurate picture of the catchment area covered by the target EAJE.</w:t>
      </w:r>
    </w:p>
    <w:p>
      <w:r>
        <w:t>91. In order to identify the geographical dimension of this market, the notifying party provided the catchment areas of the establishments of the Grandir and Crèche Attitude groups based on the actual behavior of families (from data of parent clients). When this exercise was not possible in certain areas, the notifying party developed "theoretical" areas, which were calculated based on the average travel time of parents to equivalent establishments.</w:t>
      </w:r>
    </w:p>
    <w:p>
      <w:r>
        <w:t>92. Thus, for the city of Paris and the cities in its immediate vicinity, as well as for the cities of Lyon and Marseille, the notifying party retained a theoretical isochrone area corresponding to a travel time of 12 minutes around the target establishment. In the geographical areas, a theoretical isochrone area corresponding to a travel time of 19 minutes by car around the target establishment was retained. The average travel time is calculated in travel time by car for areas outside Paris, and by public transport for Paris and the surrounding cities. It appears that these areas are close to those identified by respondents in the market test.</w:t>
      </w:r>
    </w:p>
    <w:p>
      <w:r>
        <w:t>93. Indeed, in the context of the market test, respondents were asked about the relevant isochrone areas for the childcare market. They indicated that, for Paris, a theoretical isochrone area corresponding to a travel time between 10 and 15 minutes around the target establishment can be retained. For the Paris region, they estimated that the theoretical isochrone area corresponds to a travel time between 15 and 20 minutes around the target establishment. In the case of large provincial cities, the theoretical isochrone area can correspond to a travel time of 15 minutes around the target establishment. In other geographical situations, the theoretical isochrone area corresponds to a travel time of 20 minutes around the target establishment.</w:t>
      </w:r>
    </w:p>
    <w:p>
      <w:r>
        <w:t>94. In this context, and without it being necessary to resolve the issue of the geographical delimitation of the childcare market, the Authority conducted an analysis based on the actual footprints of the target nurseries or, when the data was not available, on the theoretical isochrone areas estimated by the notifying party.</w:t>
      </w:r>
    </w:p>
    <w:p>
      <w:r>
        <w:t>III. Competitive Analysis</w:t>
      </w:r>
    </w:p>
    <w:p>
      <w:r>
        <w:t>95. Given the simultaneous presence of the parties in the upstream markets of third-party reservations of places within EAJE, in the market for the management of EAJE, and in the market for the care of young children, the analysis of the effects of the operation will focus on these different markets.</w:t>
      </w:r>
    </w:p>
    <w:p>
      <w:r>
        <w:t>96. The guidelines state that "when the market share of the new entity is less than 25%, it is presumed that the operation does not harm competition through unilateral effects." Beyond that, the Authority conducts a more in-depth examination of the competitive structure of the relevant market, in order to determine whether there are credible and sufficient alternatives to the new entity, it being specified that, according to the aforementioned guidelines, "the existence of large market shares is an important element in assessing a company's market power. High post-operation market shares, on the order of 50% or more, may suggest the existence of significant market power." The Competition Authority thus considers that a market share above 50% is generally likely to confer market power.</w:t>
      </w:r>
    </w:p>
    <w:p>
      <w:r>
        <w:t>97. From a methodological point of view, given the significant price differences that may exist between different operators, reflecting both the status of the establishments, their sources of funding, and their market positions, a value analysis does not seem relevant.</w:t>
      </w:r>
    </w:p>
    <w:p>
      <w:r>
        <w:t>98. Therefore, a volume analysis will be retained in this case to account for the weight of the different players. More specifically, it involves assessing the available childcare places in the relevant markets.</w:t>
      </w:r>
    </w:p>
    <w:p>
      <w:r>
        <w:t>99. Regarding the position of the parties, only the places whose allocation is effectively managed by the operators should be taken into account. Thus, places whose management is simply delegated, within the framework of a public service delegation for example, but whose allocation remains the responsibility of the local authority, are not included in the calculation of the market share of the parties.</w:t>
      </w:r>
    </w:p>
    <w:p>
      <w:r>
        <w:t>100. Regarding the estimation of the position of competitors, the theoretical capacities of the different EAJE can be deduced from their nature (collective nurseries, micro-nurseries, etc.), each type of EAJE being limited in terms of the number of cradles that can be operated. Databases from the CNAF published in the Atlas of EAJE also list the different reception capacities of the various types of subsidized EAJE. It is on this data that the notifying party relied to make its estimates. For PAJE micro-nurseries and AM, it used data from their partner nursery networks and data aggregated by certain online reservation sites.</w:t>
      </w:r>
    </w:p>
    <w:p>
      <w:r>
        <w:t>101. Furthermore, occasional and temporary childcare modes such as daycare centers have not been included in the market share estimates. The same applies to company nurseries, whose access is by definition limited to the employees of the company.</w:t>
      </w:r>
    </w:p>
    <w:p>
      <w:r>
        <w:t>A. ANALYSIS OF THE EFFECTS OF THE OPERATION ON THE MARKETS OF THIRD-PARTY RESERVATIONS OF PLACES WITHIN CHILDCARE ESTABLISHMENTS</w:t>
      </w:r>
    </w:p>
    <w:p>
      <w:r>
        <w:t>a) Market for the reservation of places within childcare establishments by national operators</w:t>
      </w:r>
    </w:p>
    <w:p>
      <w:r>
        <w:t>102. In order to calculate the market shares of the parties in this market, the volume of places effectively managed by the parties, excluding public service delegations, was compared to the latest available data, namely the volume of places managed by PSU-contracted nursery companies in 2018 and the volume of places available within PAJE micro-nurseries estimated by the CNAF, which mainly concerns for-profit private operators. Thus, according to this conservative estimate, which does not include associative nurseries, the cumulative market share of the parties will be [10-20]% at the end of the operation.</w:t>
      </w:r>
    </w:p>
    <w:p>
      <w:r>
        <w:t>103. To be able to meet the national demand of significant third-party funders or those with multi-site operations, and to offer third-party funders childcare solutions when their own capacities are saturated, or even to respond to a demand directly expressed by parents, the parties and their main competitors currently rely on networks of partners. Those of the Grandir and Liveli groups include 1,600 and 1,478 partner nurseries, respectively.</w:t>
      </w:r>
    </w:p>
    <w:p>
      <w:r>
        <w:t>104. In this regard, the parties could be incentivized to mobilize their network of partner establishments either to oust competitors from the markets in which they are active, or to impose financially disadvantageous conditions on these partners, some of whom are small players.</w:t>
      </w:r>
    </w:p>
    <w:p>
      <w:r>
        <w:t>105. However, the share of places reserved by the parties within the places managed by partner establishments is too small to place the latter in a situation of dependence. Furthermore, responses collected in the context of the market test indicate that the competitors of the parties animate partner networks of equivalent or greater size than those of the parties.</w:t>
      </w:r>
    </w:p>
    <w:p>
      <w:r>
        <w:t>106. Moreover, following the operation, the new entity will own [...] additional nurseries, which is an insufficient number to replace the current network of its 1,600 partner nurseries, which it estimates is necessary to meet the national demand of certain third-party funders.</w:t>
      </w:r>
    </w:p>
    <w:p>
      <w:r>
        <w:t>107. Thus, at the end of the operation, the parties will not be in a position to impose conditions on their partners. Consequently, the operation is not likely to harm competition through the exclusion of competitors from the nursery networks to which they belong, or even through their exit from these networks.</w:t>
      </w:r>
    </w:p>
    <w:p>
      <w:r>
        <w:t>108. Given all these elements, the operation is not likely to harm competition in the national market for third-party reservations of places within childcare establishments.</w:t>
      </w:r>
    </w:p>
    <w:p>
      <w:r>
        <w:rPr>
          <w:b/>
        </w:rPr>
        <w:t>[Pages 19–21]</w:t>
      </w:r>
    </w:p>
    <w:p>
      <w:r>
        <w:t>b) Markets for the Reservation of Places in Childcare Facilities by Local Operators</w:t>
        <w:br/>
        <w:t>109. At the level of each employment area, the position of the parties has been assessed taking into account the private EAJE operators present in the area48.</w:t>
        <w:br/>
        <w:t>110. In thirty-seven overlapping areas, the cumulative market share of the parties is less than 25%. In two overlapping areas, Cergy-Vexin49, Saclay50, and Saint-Louis51, the market shares of the parties are above 25% but below 30%. In these areas, the parties face numerous competitors.</w:t>
        <w:br/>
        <w:t>111. In the Cergy Vexin area, the parties will face competition from 10 collective nurseries with at least 243 cradles, 19 micro-nurseries with at least 189 cradles, and 3 multi-care facilities, gathering 76 cradles, including a number of EAJE operated by national competitors such as the Babilou group.</w:t>
        <w:br/>
        <w:t>112. In the Saclay area, the parties will face competition from 4 multi-care facilities with 132 cradles, 20 collective nurseries with a minimum of 559 cradles, and 25 micro-nurseries with a minimum of 250 cradles, including a number of EAJE managed by national competitors such as the Babilou group.</w:t>
        <w:br/>
        <w:t>113. Finally, in the Saint-Louis area, the parties will face 9 multi-care nurseries with at least 315 cradles, and 2 micro-nurseries with at least 20 cradles, including a number of EAJE managed by national competitors, such as the People&amp;Baby group.</w:t>
        <w:br/>
        <w:t>114. Consequently, the operation is not likely to harm competition in the local markets for the reservation of places in childcare facilities by third parties.</w:t>
        <w:br/>
        <w:t>115. The operation is also not likely to harm competition in this market through the functioning of partnership networks between EAJE operators. As indicated in points 105 and following of this decision, the parties will not be in a position to do without these networks, even at a local level, nor to impose disadvantageous conditions on their partners.</w:t>
        <w:br/>
        <w:t>c) Markets for the Reservation of Places in Childcare Facilities by Local Authorities</w:t>
        <w:br/>
        <w:t>116. In this market, the position of the parties has been assessed based on the places available at the private competitors present in the relevant geographical area, namely the municipalities where the activities of the parties overlap, or when this competence has been delegated, the relevant public establishment for intercommunal cooperation or the metropolis.</w:t>
        <w:br/>
        <w:t>117. In this case, following the operation, in the 41 local authorities where the activities of the parties overlap, the cumulative market share of the parties will remain below 25% in 23 areas.</w:t>
        <w:br/>
        <w:t>118. In the areas of the municipalities of Asnières-sur-Seine (92 00452), Aix-en-Provence (13001), Dijon (21 231), Pessac (33 318), Écully (69 081), Haguenau (67 180), Levallois Perret (92 044), and Montrouge (92 049), the cumulative market shares of the parties will be above 25% but will remain below 40%. In these areas, the new entity will still face the presence of several competitors (associative nurseries, Babilou, La Maison Bleue, People&amp;Baby) who are likely to exert sufficient competitive pressure on it in its relations with the local authorities. The operation is therefore not likely to harm competition in these areas.</w:t>
        <w:br/>
        <w:t>119. In the areas of the municipalities of Alfortville (94 002), Athis-Mons (91 027), Eybens (38 158), Massy (91 377), Mérignac (33 281), Palaiseau (91 477), Perpignan (66 136), Pusignan (69 285), Rueil-Malmaison (92 063), and Valenciennes (59 606), the cumulative market shares of the parties will be above 40%53.</w:t>
        <w:br/>
        <w:t>120. Nevertheless, in the municipalities of Alfortville, Eybens, Mérignac, Pusignan, Rueil-Malmaison, and Valenciennes, the parties are not currently active in these reservation markets. Indeed, the local authorities do not reserve places within their facilities. Any risk of harming competition in these areas can therefore be ruled out.</w:t>
        <w:br/>
        <w:t>121. Regarding the municipalities of Athis-Mons, Massy, Palaiseau, and Perpignan, it appears from the information provided by the parties that local authorities will have a sufficient number of places available with competitors compared to those currently reserved in the parties' facilities to offer an alternative to the reserving authorities.</w:t>
        <w:br/>
        <w:t>122. Thus, in these areas, the municipalities reserve, in the parties' facilities, respectively [30-40], [100-110], [30-40], and [5-10] cradles in 2020, while there are at least 20 cradles available with competitors in Athis-Mons, 156 cradles in Massy, 73 cradles in the Palaiseau area, and 182 cradles in the Perpignan area.</w:t>
        <w:br/>
        <w:t>123. However, since these reservations are made through tender mechanisms, the current position of the parties in the market is not sufficient, on its own, to demonstrate any market power of the new entity. Indeed, the demand from local authorities can be satisfied by other operators. The use of tenders ensures regular competition and a reassessment of the reservation markets held by operators. Local authorities have the option to structure their markets in a way that strengthens this competition, for example, by proceeding with allotments. Finally, these markets provide local authorities with the opportunity to negotiate their pricing and, if necessary, in case of insufficient offers, declare the contract null and void.</w:t>
        <w:br/>
        <w:t>124. Such a strategy is all the more likely given that the number of places reserved in the parties' nurseries is far lower than the number of places directly managed by these local authorities (392 cradles for Massy, 374 for Palaiseau, and 124 for Athis-Mons). In this regard, it appears from the information gathered during the investigation that, for the municipalities, the reservation of places in EAJE managed by private operators is only the third means of satisfying their need for cradles for their constituents.</w:t>
        <w:br/>
        <w:t>125. This reservation comes after the places in public nurseries that they manage directly, and the nurseries for which they have delegated management to a private operator via a DSP. The reservation of places therefore represents only a complementary and marginal means for municipalities to satisfy their need for places for their constituents. In this case, the new entity will therefore not benefit from market power against the reserving local authorities, who retain full negotiating capacity in this context.</w:t>
        <w:br/>
        <w:t>126. Given the presence of competing operators and the counter-power of the local authorities that originate the demand in this market, the operation is not likely to harm competition in the market for the reservation of places in childcare facilities by local authorities.</w:t>
        <w:br/>
        <w:t>B. ANALYSIS OF THE EFFECTS OF THE OPERATION ON THE MARKETS FOR THE MANAGEMENT OF PUBLIC CHILDCARE FACILITIES</w:t>
        <w:br/>
        <w:t>127. Both parties respond to tenders issued by local authorities to entrust the management of their EAJE to private operators within the framework of DSP.</w:t>
        <w:br/>
        <w:t>128. The notifying parties were unable to provide their respective positions in this market, due to a lack of visibility on all the tenders issued by the local authorities responsible for early childhood policy.</w:t>
        <w:br/>
        <w:t>129. However, it appears from the information gathered during the investigation that the exclusive acquisition of the targets by the Grandir group is not likely to raise any competition issues in this market.</w:t>
        <w:br/>
        <w:t>130. First, several significant operators, close competitors of the parties, are also active in this market and thus constitute an alternative to the offer of the new entity for local authorities. This is particularly the case, for example, with People&amp;Baby54.</w:t>
        <w:br/>
        <w:t>131. Furthermore, the investigation did not reveal the existence of barriers to entry, regardless of the size and geographical footprint of potential managers. The parties thus believe that it is easy to enter the EAJE management market because this activity does not incur any fixed costs for the manager, as it generally involves taking over the management of an existing nursery, unlike opening a nursery from scratch, which incurs significant fixed costs (searching for and acquiring or renting new premises, fitting out these premises, recruiting new staff, etc.).</w:t>
        <w:br/>
        <w:t>132. Thus, in 2020, out of nearly […] tenders recorded in France, the parties won [5-10]% of the contracts for the Grandir group, and [0-5]% of the contracts for the Liveli group; [20-30]% of the contracts won were in areas where the parties were not already established55.</w:t>
        <w:br/>
        <w:t>133. In this context, the principles of public procurement, which involve regular competition for contracts through open tenders, will continue to apply to these markets, which will therefore remain competitive.</w:t>
        <w:br/>
        <w:t>134. Consequently, regardless of the current position of the parties, the operation is not likely to harm competition in this market.</w:t>
        <w:br/>
        <w:t>C. ANALYSIS OF THE EFFECTS OF THE OPERATION ON THE MARKET FOR CHILDCARE</w:t>
        <w:br/>
        <w:t>135. In this market, the market share of the parties has been calculated based on information about the volume of places available in each overlapping area, estimated using the data described previously. Furthermore, as stated in point 99, to calculate the market share of the parties, the places operated by the Grandir group and Liveli within the framework of</w:t>
      </w:r>
    </w:p>
    <w:p>
      <w:r>
        <w:rPr>
          <w:b/>
        </w:rPr>
        <w:t>[Pages 22–23]</w:t>
      </w:r>
    </w:p>
    <w:p>
      <w:r>
        <w:t>de DSP were not taken into account in the estimation of the market shares of the parties, but were integrated into the market shares of the delegating municipalities.</w:t>
      </w:r>
    </w:p>
    <w:p>
      <w:r>
        <w:t>136. Finally, conservatively, given the allocation methods for nursery places which fall under public entities, municipal nursery places belonging to a municipality different from that of the establishment's location were not included in the stock of places available for parents. Indeed, residents of a municipality cannot, except in exceptional cases, be allocated places in establishments located in another municipality through municipal allocation commissions.</w:t>
      </w:r>
    </w:p>
    <w:p>
      <w:r>
        <w:t>137. In this market, the operation leads to overlaps in 174 catchment areas identified around the EAJE operated by Liveli.</w:t>
      </w:r>
    </w:p>
    <w:p>
      <w:r>
        <w:t>138. In a market comprising only the EAJE, excluding childminders, for 172 areas, the cumulative market shares of the parties will be below 25%.</w:t>
      </w:r>
    </w:p>
    <w:p>
      <w:r>
        <w:t>139. In two areas, located around the Liveli establishments in Bailly (area no. 353, micro-nursery located at 46 impasse de la halte 78870 Bailly) and Pusignan (area no. 289, micro-nursery located at 4 impasse des Frères Lumière, 69330 Pusignan), the cumulative market shares of the parties will be respectively [40-50]% and [40-50]% at the end of the operation.</w:t>
      </w:r>
    </w:p>
    <w:p>
      <w:r>
        <w:t>140. In Bailly, the new entity will face competition from 13 operators, including 2 private nurseries and one collective nursery operated notably by the Maison Bleue group.</w:t>
      </w:r>
    </w:p>
    <w:p>
      <w:r>
        <w:t>141. In Pusignan, the new entity will face competition from 13 operators, including 9 private nurseries, mainly managed by associations.</w:t>
      </w:r>
    </w:p>
    <w:p>
      <w:r>
        <w:t>142. Furthermore, these areas are characterized by the presence of a significant supply of places with licensed childminders. Thus, the cumulative market shares of the parties in a market incorporating this mode of care would then be, respectively, [20-30]% and [30-40]%.</w:t>
      </w:r>
    </w:p>
    <w:p>
      <w:r>
        <w:t>143. The functioning of partnership networks, as detailed in points 105 and following of this decision, is not likely to present a risk of harm to competition. At the end of the operation, the new entity will not be in a position to do without this network in the studied areas, and even more so in areas where there is currently no overlap. It will also not be able to act on its partners to limit competition in these areas.</w:t>
      </w:r>
    </w:p>
    <w:p>
      <w:r>
        <w:t>144. Consequently, the operation is not likely to harm competition in the market for the care of young children.</w:t>
      </w:r>
    </w:p>
    <w:p>
      <w:r>
        <w:t>DECIDES</w:t>
        <w:br/>
        <w:t>Sole Article: The operation notified under number 21-215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