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https://www.autoritedelaconcurrence.fr/fr/decision-de-controle-des-concentrations/relative-la-prise-de-controle-exclusif-des-societes-creuzet</w:t>
      </w:r>
    </w:p>
    <w:p>
      <w:r>
        <w:t>Pages translated : 4</w:t>
      </w:r>
    </w:p>
    <w:p/>
    <w:p>
      <w:r>
        <w:rPr>
          <w:b/>
        </w:rPr>
        <w:t>[Pages 1–3]</w:t>
      </w:r>
    </w:p>
    <w:p>
      <w:r>
        <w:t xml:space="preserve">FRENCH REPUBLIC  </w:t>
        <w:br/>
        <w:t xml:space="preserve">Decision No. 11-DCC-109 of July 18, 2011  </w:t>
        <w:br/>
        <w:t xml:space="preserve">regarding the exclusive control of the companies Creuzet Aéronautique SA and Indraero-Siren SAS by the Lisi Aerospace SAS group  </w:t>
        <w:br/>
        <w:t xml:space="preserve">The Competition Authority,  </w:t>
        <w:br/>
        <w:t xml:space="preserve">Having regard to the notification file submitted in full to the merger service on June 9, 2011, regarding the acquisition of exclusive control of the companies Creuzet Aéronautique SA and Indraero-Siren SAS by the Lisi Aerospace SAS group;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Lisi Aerospace SAS (hereinafter "Lisi Aerospace"), 100% controlled by the company Lisi SA, the parent holding company of the Lisi group (hereinafter "Lisi group"), manufactures and supplies, among other things, fasteners and assembly components for the aeronautics and automotive industries. The Lisi group also engages in the subcontracting of medical implants.  </w:t>
        <w:br/>
        <w:t xml:space="preserve">2. The companies SA Creuzet Aéronautique (hereinafter "Creuzet Aéronautique") and SAS Indraéro-Siren (hereinafter "Indraéro") are indirectly controlled by Mr. Jacques Barrillot-Creuzet. They are active in the manufacturing sector of parts and components intended for the aeronautics industry. Thus, Creuzet manufactures aeronautical parts whose applications are primarily found in fuselage elements and aircraft engines. Indraéro produces parts and assemblies that are mainly found in aircraft structural elements and engages in the assembly of aeronautical parts, manufacturing of aeronautical equipment, and interior fitting of aircraft.  </w:t>
        <w:br/>
        <w:t>3. On March 17, 2011, Lisi SA submitted an offer to acquire 100% of the shares and voting rights of Creuzet Aéronautique and Indraéro to the shareholders of these companies.</w:t>
      </w:r>
    </w:p>
    <w:p>
      <w:r>
        <w:t xml:space="preserve">4. The companies concerned together achieve a worldwide turnover excluding tax of more than 150 million euros (Lisi: [...] million euros for the fiscal year ending December 31, 2010; Creuzet Aéronautique and Indraéro: [...] million euros for the same fiscal year). Each of the companies concerned achieves a turnover in France exceeding 50 million euros (Lisi: [...] million euros for the fiscal year ending December 31, 2010; Creuzet Aéronautique and Indraéro: [...] million euros for the same fiscal year). Given these turnovers, the operation does not have a European dimension. However, the control thresholds of Article L.430-3 of the Commercial Code are exceeded. The concentration is therefore subject to the provisions of Articles L.430-3 and following of the Commercial Code relating to economic concentration.  </w:t>
        <w:br/>
        <w:t xml:space="preserve">II. Definition of the relevant markets  </w:t>
        <w:br/>
        <w:t xml:space="preserve">5. The parties are involved in the manufacturing of parts and components for the aeronautics industry. In particular, they are simultaneously active in the only sector of aeronautical locks, in which only Lisi Aerospace and Indraéro are present.  </w:t>
        <w:br/>
        <w:t xml:space="preserve">A. THE PRODUCT MARKET  </w:t>
        <w:br/>
        <w:t xml:space="preserve">6. The parties produce aeronautical assembly components, which are used in the construction of aircraft.  </w:t>
        <w:br/>
        <w:t xml:space="preserve">7. The Competition Authority has previously had the opportunity to emphasize that "in the matter of spare parts, national decision-making practice considers that each type of part can constitute a relevant market." This solution has been retained in various sectors such as the automotive, railway, mechanical, and aeronautical industries. In the aeronautical field, competition authorities have already considered markets relating to certain aeronautical components, such as connectors, filtration systems, or aeronautical fasteners in particular.  </w:t>
        <w:br/>
        <w:t xml:space="preserve">1 Decision No. 09-DCC-09 regarding the exclusive control of the Setforge group by Farinia B.V.  </w:t>
        <w:br/>
        <w:t xml:space="preserve">2 See in particular the letter from the Minister of Economy, Finance and Employment dated November 26, 2007, to the advisors of the Arche group regarding a concentration in the automotive parts sector.  </w:t>
        <w:br/>
        <w:t xml:space="preserve">3 Letter from the Minister of Economy, Finance and Industry dated January 4, 2008, to the advisors of Gutehoffnungshütte GmbH regarding a concentration in the railway parts sector.  </w:t>
        <w:br/>
        <w:t xml:space="preserve">4 See in particular the decisions of the European Commission No. IV/M.479 Ingersoll Rand/Man of July 28, 1994, and No. IV/M.535 Mannesmann Demag/Delaval Stork of December 21, 1994.  </w:t>
        <w:br/>
        <w:t xml:space="preserve">5 See decision COMP/M.2928 in which the European Commission recognized the existence of a market for aeronautical fasteners, distinct from other aeronautical components.  </w:t>
        <w:br/>
        <w:t xml:space="preserve">6 Letter from the Minister of Economy, Finance and Industry dated March 24, 2004, to the advisors of Molex Incorporated regarding a concentration in the automotive connectors sector; Letter C 2006-59 from the Minister of Economy, Finance and Industry dated May 31, 2006, to the advisors of Wendel Investissement regarding a concentration in the electronic connectors sector.  </w:t>
        <w:br/>
        <w:t xml:space="preserve">7 Decision of the European Commission COMP/M.2021 Snecma / Labinal of August 15, 2000.  </w:t>
        <w:br/>
        <w:t>8 Decision of the European Commission COMP/M.2928 Alcoa / Fairchild of October 14, 2002.</w:t>
      </w:r>
    </w:p>
    <w:p>
      <w:r>
        <w:t xml:space="preserve">8. In this case, the parties propose to define a distinct market for aeronautical locks. They specify that aeronautical locks have a specific use. They can be found in various locations on an aircraft: some are located on the external structure (inspection hatches, cargo holds, etc.); others are intended to be integrated inside the aircraft (locks for lavatory doors, for example). Aeronautical locks are intended to be operated repeatedly and must therefore be able to withstand several thousand cycles to receive the appropriate certifications. The parties conclude that aeronautical locks are not substitutable with other components.  </w:t>
        <w:br/>
        <w:t xml:space="preserve">9. The question of the exact definition of the relevant market can be left open in this case, as, regardless of the approach taken, the competitive analysis will not be altered.  </w:t>
        <w:br/>
        <w:t xml:space="preserve">B. THE GEOGRAPHIC MARKET  </w:t>
        <w:br/>
        <w:t xml:space="preserve">10. The European Commission has had the opportunity to note that "with regard to equipment and services intended for the civil aeronautics sector, (...) the main customers have a global purchasing policy." Thus, it indicated, without definitively ruling, that the markets for aeronautical fasteners were of a global dimension. Similarly, decision-making practice has determined that the market for connectors was probably at least European in dimension, if not global, particularly due to low transportation costs and the global purchasing policies of buyers. Finally, it has determined that the market for filtration systems was also probably of a global dimension.  </w:t>
        <w:br/>
        <w:t xml:space="preserve">11. In this case, concerning aeronautical locks, the customers of the parties are large international groups, as they include groups such as Boeing, Airbus, Bombardier, Eurocopter, or Safran. Therefore, the parties propose to consider a market of global dimension or, at the very least, European.  </w:t>
        <w:br/>
        <w:t xml:space="preserve">12. However, it is not necessary to formally resolve this question in this case, as, regardless of the segmentation retained, the competitive analysis will not be altered.  </w:t>
        <w:br/>
        <w:t xml:space="preserve">III. Competitive analysis  </w:t>
        <w:br/>
        <w:t>13. In the market for aeronautical locks, which the parties estimate at [...] million euros globally, Lisi Aerospace holds a market share of [0-5] %. The target companies have an almost negligible market share, with Indraéro being the only active player in this market and achieving a turnover of approximately [...] million euros. At the European level, the Lisi group...</w:t>
      </w:r>
    </w:p>
    <w:p>
      <w:r>
        <w:rPr>
          <w:b/>
        </w:rPr>
        <w:t>[Pages 4–4]</w:t>
      </w:r>
    </w:p>
    <w:p>
      <w:r>
        <w:t>Aerospace holds a market share of [0-5]% and Indraéro a market share of less than [0-5]%. The increment resulting from the operation is therefore insignificant, and the entity resulting from the concentration will only represent a modest part of the concerned market.</w:t>
      </w:r>
    </w:p>
    <w:p>
      <w:r>
        <w:t>14. Furthermore, it should be noted that both Creuzet and Indraéro have assembly activities that lead them to rely on producers of aeronautical fasteners such as Lisi Aerospace. A vertical concentration can restrict competition in upstream markets when the downstream branch of the integrated company refuses to purchase products from upstream active operators, thereby reducing their commercial outlets. Such a concentration can also restrict competition in downstream markets when the new entity active upstream refuses to sell its products to players present downstream.</w:t>
      </w:r>
    </w:p>
    <w:p>
      <w:r>
        <w:t>15. In this case, however, in the market for aeronautical fasteners, Lisi Aerospace holds a market share that is consistently below [10-20]% at the European or global level, and the fastener purchases of Creuzet and Indraéro remain marginal in this sector (less than […] euros). Therefore, even if Creuzet and Indraéro were to source exclusively from Lisi Aerospace following the operation, the amount of the concerned purchases is too modest to raise competition concerns.</w:t>
      </w:r>
    </w:p>
    <w:p>
      <w:r>
        <w:t>16. Finally, following the operation, the new entity will strengthen its position in the manufacturing of parts and components for the aeronautics industry. However, any risk of harming competition through the implementation of a range effect can be ruled out to the extent that the market shares of the new entity remain low and it will face buyers with strong negotiating power, such as Airbus, Boeing, and Safran.</w:t>
      </w:r>
    </w:p>
    <w:p>
      <w:r>
        <w:t>17. Consequently, the operation is not likely to harm competition.</w:t>
      </w:r>
    </w:p>
    <w:p>
      <w:r>
        <w:t>DECIDES</w:t>
      </w:r>
    </w:p>
    <w:p>
      <w:r>
        <w:t>Sole Article: The operation notified under number 11-0108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