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https://www.autoritedelaconcurrence.fr/fr/decision-de-controle-des-concentrations/relative-la-prise-de-controle-exclusif-des-societes-dactyl</w:t>
      </w:r>
    </w:p>
    <w:p>
      <w:r>
        <w:t>Pages translated : 9</w:t>
      </w:r>
    </w:p>
    <w:p/>
    <w:p>
      <w:r>
        <w:rPr>
          <w:b/>
        </w:rPr>
        <w:t>[Pages 1–3]</w:t>
      </w:r>
    </w:p>
    <w:p>
      <w:r>
        <w:t xml:space="preserve">FRENCH REPUBLIC  </w:t>
        <w:br/>
        <w:t xml:space="preserve">Decision No. 16-DCC-22 of February 15, 2016  </w:t>
        <w:br/>
        <w:t>regarding the exclusive control of the companies Dactyl Buro du Centre and OMR Impression by the Konica Minolta group</w:t>
      </w:r>
    </w:p>
    <w:p>
      <w:r>
        <w:t xml:space="preserve">The Competition Authority,  </w:t>
        <w:br/>
        <w:t xml:space="preserve">Having regard to the notification file submitted in full to the merger service on January 26, 2016, regarding the exclusive control of the companies Dactyl Buro du Centre and OMR Impression by Konica Minolta Inc., through its subsidiary Konica Minolta Business Solutions France, formalized by the signing, on January 5, 2016, of a share transfer agreement between Finance et Conseil du Centre and Konica Minolta Business Solutions France;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Konica Minolta Business Solutions France (hereinafter "KMBS France") is a simplified joint-stock company (SAS), a subsidiary of the Konica Minolta group, 47.6% owned by Konica Minolta Inc. (hereinafter "KMI"), a Japanese law company, and 52.4% owned by Konica Minolta Business Solutions Europe, a German law company, which is itself owned by KMI. The Konica Minolta group specializes in the manufacture and marketing of printing systems. This activity consists of the manufacture and marketing of multifunction printing systems (black and white, color, digital) and production printing systems (copy centers and on-site, on-demand, and commercial printing) as well as corresponding spare parts and consumables (ink cartridges, etc.). The Konica Minolta group also manufactures and markets medical and graphic imaging devices, optical instruments, and measuring instruments.  </w:t>
        <w:br/>
        <w:t xml:space="preserve">2. KMBS France is responsible for the distribution of the Konica Minolta group's printing solutions in France. The company Serians, a 100% subsidiary of KMBS France, is specialized in offering IT solutions, printing systems, and management solutions to businesses.  </w:t>
        <w:br/>
        <w:t xml:space="preserve">3. The two target companies, Dactyl Buro du Centre (hereinafter "DBC") and OMR Impression (hereinafter "OMR"), are 100% owned by Finance et Conseil du Centre. They specialize in the distribution and maintenance of professional office printing systems and software associated with electronic document management. They primarily distribute printing systems from brands such as Sharp, Konica Minolta, Canon, Lexmark, and HP. DBC operates in about twenty geographical departments in central France, and OMR in six departments in western France.  </w:t>
        <w:br/>
        <w:t xml:space="preserve">4. The operation, formalized by a share transfer agreement signed on January 5, 2016, consists of the acquisition by KMI, through its subsidiary KMBS France, of 100% of the shares of the companies DBC and OMR.  </w:t>
        <w:br/>
        <w:t xml:space="preserve">5. These two operations are interdependent in that they are subject to a single transfer agreement which stipulates that the transfer concerning all the shares of the companies DBC and OMR is indivisible1. They are therefore subject to mutual conditionality and must be considered as a single concentration under recital 20 of Regulation No. 139/2004 on the control of concentrations and the consolidated communication of the Commission (points 38 and following).  </w:t>
        <w:br/>
        <w:t xml:space="preserve">6. Insofar as it results in the exclusive control of the companies DBC and OMR by KMI, the notified operation constitutes a concentration operation within the meaning of Article L. 430-1 of the Commercial Code.  </w:t>
        <w:br/>
        <w:t>7. The companies concerned together achieve a total worldwide turnover excluding taxes of more than 150 million euros (KMI: 7.6 billion euros for the fiscal year ending March 31, 2015; target companies: 73.8 million euros for the fiscal year ending March 31, 2015). KMI on the one hand and the companies DBC and OMR taken together on the other hand achieved in France a total turnover excluding taxes exceeding 50 million euros (KMI: 374 million euros, of which 368 million euros were achieved by KMBS France for the fiscal year ending March 31, 2015; target companies: 73.8 million euros for the fiscal year ending March 31,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8. Konica Minolta is active in the market for the production of printing systems (A). The companies DBC and OMR are both active in the market for the supply of computer products from various manufacturers (B). Furthermore, Konica Minolta and the companies DBC and OMR are simultaneously present in the market for the distribution of computer products (C), the market for IT services (D), and the market for leasing financing of movable assets for businesses (E).  </w:t>
        <w:br/>
        <w:t>1 Share transfer agreement Dactyl Buro du Centre and OMR of January 5, 2016, Article 2.</w:t>
      </w:r>
    </w:p>
    <w:p>
      <w:r>
        <w:t xml:space="preserve">A. THE MARKET FOR THE PRODUCTION OF PRINTING SYSTEMS  </w:t>
        <w:br/>
        <w:t xml:space="preserve">1. PRODUCT MARKET  </w:t>
        <w:br/>
        <w:t xml:space="preserve">9. The decisional practice2 has considered that, regarding the production of printing systems (photocopiers), two distinct product markets could be identified: the production of black and white photocopiers and the production of color photocopiers. The competition authorities have also pointed out, without ruling on the exact delimitation of the markets, that other segmentations could also take into account the printing volume capacity (number of copies per minute, or "cpm"3), the nature of the clientele (individuals or professionals), and the technology used (digital or analog).  </w:t>
        <w:br/>
        <w:t xml:space="preserve">10. The notifying party believes that the distinction between black and white and color photocopiers is no longer relevant, nor is the distinction between digital and analog photocopiers, as digital photocopiers have gradually replaced analog photocopiers over the past decade. It argues, however, that the market could be segmented based on the nature of the clientele (individuals or professionals) insofar as the printing systems are intended for a professional clientele.  </w:t>
        <w:br/>
        <w:t xml:space="preserve">11. In this case, KMBS France is only present in the market for professional printing systems and more specifically in the market for A4 and A3 format printing systems (excluding personal printing systems worth less than 1,000 euros).  </w:t>
        <w:br/>
        <w:t>12. The exact definition of the market can be left open as the conclusions of the competitive analysis remain unchanged.</w:t>
      </w:r>
    </w:p>
    <w:p>
      <w:r>
        <w:t xml:space="preserve">2. GEOGRAPHICAL MARKET  </w:t>
        <w:br/>
        <w:t xml:space="preserve">13. The decisional practice has considered4 that the overall market for the production of photocopiers is at least European in scope, given the absence of technical and legal barriers as well as the existence of similar competitive conditions among the different Member States of the European Union.  </w:t>
        <w:br/>
        <w:t xml:space="preserve">14. In this case, the competitive analysis will be conducted at the European and national levels.  </w:t>
        <w:br/>
        <w:t xml:space="preserve">2 Decisions IV/M.622, Ricoh/Gestetner of September 12, 1995, COMP/M.2265, Ricoh/Lanier of January 24, 2001, COMP/M.3091, Konica/Minolta of July 11, 2003; see also the letter from the Minister of Economy, Finance and Industry C2005-49 dated July 5, 2005, to the board of the company NRG France regarding a concentration in the sector of the distribution of printing and copying devices.  </w:t>
        <w:br/>
        <w:t xml:space="preserve">3 Category 1: 0-19 cpm; category 2: 20-39 cpm; category 3: 40-59 cpm; category 4: 60-89 cpm; category 5: &gt; 90 cpm.  </w:t>
        <w:br/>
        <w:t>4 See the aforementioned decisions.</w:t>
      </w:r>
    </w:p>
    <w:p>
      <w:r>
        <w:rPr>
          <w:b/>
        </w:rPr>
        <w:t>[Pages 4–6]</w:t>
      </w:r>
    </w:p>
    <w:p>
      <w:r>
        <w:t>B. THE MARKET FOR SUPPLYING COMPUTER PRODUCTS FROM VARIOUS MANUFACTURERS</w:t>
      </w:r>
    </w:p>
    <w:p>
      <w:r>
        <w:t>1. PRODUCT MARKET</w:t>
      </w:r>
    </w:p>
    <w:p>
      <w:r>
        <w:t>15. Upstream, manufacturers sell their products either directly to distributors or to wholesalers, whose role is to have a wide range of computer products and supply them to their distributor clients within very short timeframes. It may also happen that the manufacturer addresses end customers directly. In this case, it is referred to as "direct sales."</w:t>
      </w:r>
    </w:p>
    <w:p>
      <w:r>
        <w:t>16. Regarding the supply of computer products from various manufacturers, the Competition Authority5 considered distinguishing as many markets as there are product families, insofar as manufacturers cannot easily switch to manufacturing other products than their own and where the structure of supply, pricing dynamics, or manufacturing constraints can vary significantly from one product family to another.</w:t>
      </w:r>
    </w:p>
    <w:p>
      <w:r>
        <w:t>17. The companies DBC and OMR are present in the market for supplying printing systems from various manufacturers.</w:t>
      </w:r>
    </w:p>
    <w:p>
      <w:r>
        <w:t>18. In this case, the question of the precise definition of the market can be left open insofar as, regardless of the delimitation chosen, the competitive analysis will remain unchanged.</w:t>
      </w:r>
    </w:p>
    <w:p>
      <w:r>
        <w:t>2. GEOGRAPHIC MARKET</w:t>
      </w:r>
    </w:p>
    <w:p>
      <w:r>
        <w:t>19. The Competition Authority6 considered that the various supply markets could have at least a national dimension.</w:t>
      </w:r>
    </w:p>
    <w:p>
      <w:r>
        <w:t>20. In this case, the competitive analysis will be conducted at the national level.</w:t>
      </w:r>
    </w:p>
    <w:p>
      <w:r>
        <w:t>C. THE MARKET FOR DISTRIBUTING COMPUTER PRODUCTS</w:t>
      </w:r>
    </w:p>
    <w:p>
      <w:r>
        <w:t>1. PRODUCT MARKETS</w:t>
      </w:r>
    </w:p>
    <w:p>
      <w:r>
        <w:t>21. European and national7 competition authorities consider that the wholesale distribution of computer products to distributors constitutes a distinct market from retail distribution due to its specific characteristics. Wholesalers of computer products are indeed able to offer a very wide range of products, sourcing from several manufacturers, and delivering to their clients within short timeframes, thanks to significant logistical capabilities. Furthermore, it has been emphasized that direct sales made by manufacturers to distributors exert a certain competitive pressure on wholesalers' sales, particularly in terms of pricing.</w:t>
      </w:r>
    </w:p>
    <w:p>
      <w:r>
        <w:t>22. Moreover, the European Commission clarified that indirect retail distribution (via distributors) or direct distribution (carried out by the manufacturer) could be considered as belonging to the same market8.</w:t>
      </w:r>
    </w:p>
    <w:p>
      <w:r>
        <w:t>23. Competition authorities have considered segmenting the market for distributing computer products based on the distribution channel and the type of software or hardware, both at the wholesale and retail stages9. Three distribution channels have thus been identified: (i) large and medium-sized generalist and specialized stores; (ii) value-added resellers (VARs who integrate their own software with the hardware purchased wholesale for resale); and (iii) specialized distributors for professional clients ("corporate resellers"). The market has also been segmented according to the type of hardware sold: (i) microcomputers and servers, (ii) printers and cartridges, (iii) software, and (iv) accessories and other peripherals10. The European Commission has repeatedly considered the existence of distinct markets concerning servers, storage accessories, peripherals, and software11.</w:t>
      </w:r>
    </w:p>
    <w:p>
      <w:r>
        <w:t>24. In this case, the parties act as specialized retail distributors of printers and cartridges.</w:t>
      </w:r>
    </w:p>
    <w:p>
      <w:r>
        <w:t>25. In this case, the question of the precise definition of the market for distributing computer products can be left open insofar as, regardless of the delimitation chosen, the competitive analysis will remain unchanged.</w:t>
      </w:r>
    </w:p>
    <w:p>
      <w:r>
        <w:t>2. GEOGRAPHIC MARKET</w:t>
      </w:r>
    </w:p>
    <w:p>
      <w:r>
        <w:t>26. The Competition Authority considers that the markets for distributing computer products were of national dimension12, particularly due to the necessity for wholesalers and retailers of computer products to communicate regularly in the language of their clients and to maintain a relative proximity to them.</w:t>
      </w:r>
    </w:p>
    <w:p>
      <w:r>
        <w:t>27. In this case, the competitive analysis will be conducted at the national level.</w:t>
      </w:r>
    </w:p>
    <w:p>
      <w:r>
        <w:t>D. THE IT SERVICES MARKET</w:t>
      </w:r>
    </w:p>
    <w:p>
      <w:r>
        <w:t>1. PRODUCT MARKET</w:t>
      </w:r>
    </w:p>
    <w:p>
      <w:r>
        <w:t>28. European13 and national14 competition authorities have identified, within the IT services market, seven functional categories of services: (i) global management services, (ii) business management services, (iii) software development and integration, (iv) consulting, (v) software maintenance and logistical support, (vi) hardware maintenance and logistical support, and (vii) education and training. However, it has not been excluded15 that these seven categories of services could be considered as belonging to an overall IT services market insofar as clients generally seek a service integrating all the activities described above and there exists a high degree of substitutability on the supply side.</w:t>
      </w:r>
    </w:p>
    <w:p>
      <w:r>
        <w:t>29. Various alternative or complementary segmentations have also been considered16 according to:</w:t>
        <w:br/>
        <w:t>- the type of clientele: SMEs or large accounts;</w:t>
        <w:br/>
        <w:t>- the types of information and communication systems: (i) management application systems, which include IT services used to fulfill a horizontal function within companies or administrations; (ii) embedded scientific and technical industrial application systems; (iii) generic application systems; (iv) IT infrastructure systems; and (v) communication and enterprise network infrastructure systems;</w:t>
        <w:br/>
        <w:t>- the sector of activity, namely: (i) communications, (ii) education, (iii) energy and local networks, (iv) financial services, (v) the public sector, (vi) health, (vii) industry, (viii) commerce and distribution, (ix) services, and (x) transport.</w:t>
      </w:r>
    </w:p>
    <w:p>
      <w:r>
        <w:t>30. The notifying party indicates that professional clients seek from manufacturers' printing systems while they request from their distributors a service that includes both the provision of printing systems (as well as associated consumables and software) and the necessary maintenance services for the proper functioning of these products. The market for distributing printing systems and that for maintenance and logistical support services necessary for the proper functioning of these products are therefore closely linked.</w:t>
      </w:r>
    </w:p>
    <w:p>
      <w:r>
        <w:t>31. There is no need to challenge these segmentations in the context of this operation.</w:t>
      </w:r>
    </w:p>
    <w:p>
      <w:r>
        <w:t>32. The parties are simultaneously active in the market for maintenance of printing systems and logistical support.</w:t>
      </w:r>
    </w:p>
    <w:p>
      <w:r>
        <w:rPr>
          <w:b/>
        </w:rPr>
        <w:t>[Pages 7–9]</w:t>
      </w:r>
    </w:p>
    <w:p>
      <w:r>
        <w:t>2. GEOGRAPHICAL MARKET</w:t>
      </w:r>
    </w:p>
    <w:p>
      <w:r>
        <w:t>33. The competition authorities17 have, on several occasions, determined that the markets for IT services are of national dimension, particularly due to the necessity for service providers to communicate regularly in the language of their clients and to maintain a relative proximity to them.</w:t>
      </w:r>
    </w:p>
    <w:p>
      <w:r>
        <w:t>34. In the present case, the competitive analysis will be conducted at the national level.</w:t>
      </w:r>
    </w:p>
    <w:p>
      <w:r>
        <w:t>E. THE MARKET FOR LEASING FINANCING OF TANGIBLE ASSETS FOR BUSINESSES</w:t>
      </w:r>
    </w:p>
    <w:p>
      <w:r>
        <w:t>1. SERVICE MARKET</w:t>
      </w:r>
    </w:p>
    <w:p>
      <w:r>
        <w:t>35. The Competition Authority considered that it was possible to segment the leasing financing services of tangible assets for businesses based on the leasing financing methods offered, such as leasing, financial rental, and long-term vehicle rental, but ultimately left the precise delineation of the markets in question open18.</w:t>
      </w:r>
    </w:p>
    <w:p>
      <w:r>
        <w:t>36. The Authority also considered a distinction based on the categories of assets covered by these services, the categories of clients, or the different sectors of activity of the clients, but it left the precise delineation of these markets open19.</w:t>
      </w:r>
    </w:p>
    <w:p>
      <w:r>
        <w:t>37. It is not necessary, within the framework of the present operation, to make a precise determination of the markets in question, as, regardless of the delineation retained, the conclusions of the competitive analysis will remain unchanged.</w:t>
      </w:r>
    </w:p>
    <w:p>
      <w:r>
        <w:t>2. GEOGRAPHICAL MARKET</w:t>
      </w:r>
    </w:p>
    <w:p>
      <w:r>
        <w:t>38. The competition authorities consider that the geographical dimension of the markets for leasing financing services of tangible assets for businesses is national when the services are provided to small and medium-sized enterprises, and could be broader than national when these services are provided to large enterprises20.</w:t>
      </w:r>
    </w:p>
    <w:p>
      <w:r>
        <w:t>39. In this case, the competitive analysis will be conducted at the national level insofar as, regardless of the delineation retained, the conclusions of the competitive analysis will remain unchanged.</w:t>
      </w:r>
    </w:p>
    <w:p>
      <w:r>
        <w:t>17 Decisions n°14-DCC-181 and n°11-DCC-139 cited above.</w:t>
      </w:r>
    </w:p>
    <w:p>
      <w:r>
        <w:t>18 Decisions of the European Commission COMP/M.5384, BNP Paribas / Fortis, December 3, 2008; COMP/M.4844, Fortis/ABN AMRO Assets, October 3, 2007; COMP/M.2970, GE/ABB Structured Finance, November 5, 2002; decision of the Competition Authority n°10-DCC-48 of June 2, 2010, regarding the exclusive control of Amonite SAS by Manuloc SA; decision n°09-DCC-16 of June 22, 2009, regarding the merger between the Caisse d’Epargne and Banque Populaire groups; letter from the Minister of Economy, Finance and Industry dated December 20, 2005, to the boards of ING Car Lease France regarding a concentration in the long-term vehicle rental sector; letter from the Minister of Economy, Finance and Industry dated August 22, 2005, to the board of the Société Générale group regarding a concentration in the long-term vehicle rental sector.</w:t>
      </w:r>
    </w:p>
    <w:p>
      <w:r>
        <w:t>19 See in particular the decisions of the European Commission COMP/M.5384 and COMP/M.2970 cited above.</w:t>
      </w:r>
    </w:p>
    <w:p>
      <w:r>
        <w:t>20 Decisions of the European Commission COMP/M.5384, COMP/M.4844, and COMP/M.2970 cited above and decision n°09-DCC-16 cited above.</w:t>
      </w:r>
    </w:p>
    <w:p>
      <w:r>
        <w:t>III. Competitive Analysis</w:t>
      </w:r>
    </w:p>
    <w:p>
      <w:r>
        <w:t>A. ANALYSIS OF HORIZONTAL EFFECTS</w:t>
      </w:r>
    </w:p>
    <w:p>
      <w:r>
        <w:t>40. Konica Minolta and the companies DBC and OMR are simultaneously active in the markets for the distribution of printing systems for professionals and for the maintenance of printing systems and logistical support in France. Regardless of the segmentation retained, the market share of the new entity in these two markets will be below 20%, with the companies DBC and OMR representing approximately 2% of the market.</w:t>
      </w:r>
    </w:p>
    <w:p>
      <w:r>
        <w:t>41. Furthermore, the parties are simultaneously present in the market for leasing financing services of tangible assets for businesses in France. They specified that, to provide this ancillary service to their main activities aimed at satisfying the demand of end customers, they rely on the services of leasing financing organizations. In this market, regardless of the segmentation retained, the market share of the new entity will be below 1%, with the companies DBC and OMR representing approximately 0.3% of the market.</w:t>
      </w:r>
    </w:p>
    <w:p>
      <w:r>
        <w:t>42. Consequently, the present operation is not likely to harm competition through horizontal effects in the markets for the distribution of printing systems for professionals, for the maintenance of printing systems and logistical support, and for leasing financing services of tangible assets for businesses.</w:t>
      </w:r>
    </w:p>
    <w:p>
      <w:r>
        <w:t>B. ANALYSIS OF VERTICAL EFFECTS</w:t>
      </w:r>
    </w:p>
    <w:p>
      <w:r>
        <w:t>43. A vertical concentration can restrict competition by making access to the markets where the new entity will be active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effectively dismisses the risks of lock-in when the share of the company resulting from the operation in the relevant markets does not exceed 30%.</w:t>
      </w:r>
    </w:p>
    <w:p>
      <w:r>
        <w:t>44. In the market for the production of printing systems for professionals, Konica Minolta has a market share of 14.7% at the national level and 12.3% at the European level. Furthermore, the combined market share of the companies DBC and OMR in the market for the supply of printing systems from various manufacturers is 3.8%.</w:t>
      </w:r>
    </w:p>
    <w:p>
      <w:r>
        <w:t>45. If today, DBC and OMR distribute and maintain products from suppliers other than those of Konica Minolta, following the operation, these suppliers will have the option to turn to other independent distributors of similar or larger size, such as C’Pro, Netmakers, or Desk. Moreover, Konica Minolta will continue to face competition from large international groups specialized in the manufacture and distribution of printing systems, such as Ricoh, Canon, Toshiba, Xerox, or Kyocera.</w:t>
      </w:r>
    </w:p>
    <w:p>
      <w:r>
        <w:t>46. Given these elements, the present operation is not likely to harm competition through vertical effects.</w:t>
      </w:r>
    </w:p>
    <w:p>
      <w:r>
        <w:t>DECIDES</w:t>
      </w:r>
    </w:p>
    <w:p>
      <w:r>
        <w:t>Sole Article: The operation notified under number 15-240 is authorized.</w:t>
      </w:r>
    </w:p>
    <w:p>
      <w:r>
        <w:t>The President,</w:t>
        <w:br/>
        <w:t>Bruno Lasserre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