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https://www.autoritedelaconcurrence.fr/fr/decision-de-controle-des-concentrations/relative-la-prise-de-controle-exclusif-des-societes-dambax</w:t>
      </w:r>
    </w:p>
    <w:p>
      <w:r>
        <w:t>Pages translated : 2</w:t>
      </w:r>
    </w:p>
    <w:p/>
    <w:p>
      <w:r>
        <w:rPr>
          <w:b/>
        </w:rPr>
        <w:t>[Pages 1–2]</w:t>
      </w:r>
    </w:p>
    <w:p>
      <w:r>
        <w:t>FRENCH REPUBLIC</w:t>
        <w:br/>
        <w:t>Decision No. 20-DCC-185 of December 10, 2020</w:t>
        <w:br/>
        <w:t>regarding the exclusive control acquisition of the companies Dambax SA, Dambax SAS, and Garage Dambax &amp; Fils by the company SFS</w:t>
        <w:br/>
        <w:t>The Competition Authority,</w:t>
        <w:br/>
        <w:t>Having regard to the complete notification file submitted to the mergers department on November 23, 2020, concerning the exclusive control acquisition of the companies Dambax SA, Dambax SAS, and Garage Dambax &amp; Fils by the company SFS, formalized by a letter of intent dated September 4, 2020;</w:t>
        <w:br/>
        <w:t>Having regard to Book IV of the Commercial Code relating to the freedom of prices and competition, and in particular its Articles L. 430-1 to L. 430-7;</w:t>
        <w:br/>
        <w:t>Having regard to the elements provided by the notifying party during the investigation;</w:t>
        <w:br/>
        <w:t>Adopts the following decision:</w:t>
        <w:br/>
        <w:t>1. The notified operation consists of the exclusive control acquisition by the company SFS, controlled by Mr. Franck Stival, of the companies Dambax SA, Dambax SAS, and Garage Dambax &amp; Fils, which operate car dealerships under the Audi and Volkswagen brands in Auch (31), Saint-Gaudens (31), and Tarbes (65). It constitutes a concentration operation within the meaning of Article L. 430-1 of the Commercial Code. Given the turnover generated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br/>
        <w:t>1 An establishment located in Lannemezan (65) is attached to the Saint-Gaudens dealership.</w:t>
      </w:r>
    </w:p>
    <w:p>
      <w:r>
        <w:t>DECIDES</w:t>
        <w:br/>
        <w:t>Sole Article: The notified operation under number 20-179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