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https://www.autoritedelaconcurrence.fr/fr/decision-de-controle-des-concentrations/relative-la-prise-de-controle-exclusif-des-societes-davai</w:t>
      </w:r>
    </w:p>
    <w:p>
      <w:r>
        <w:t>Pages translated : 2</w:t>
      </w:r>
    </w:p>
    <w:p/>
    <w:p>
      <w:r>
        <w:rPr>
          <w:b/>
        </w:rPr>
        <w:t>[Pages 1–2]</w:t>
      </w:r>
    </w:p>
    <w:p>
      <w:r>
        <w:t xml:space="preserve">FRENCH REPUBLIC  </w:t>
        <w:br/>
        <w:t xml:space="preserve">Decision No. 23-DCC-40 of February 24, 2023  </w:t>
        <w:br/>
        <w:t xml:space="preserve">regarding the exclusive control acquisition of the companies Davai ENR and Davai ENR DEVCO by the company Mirova and the companies Davai Investment and AGL Investment  </w:t>
        <w:br/>
        <w:t xml:space="preserve">The Competition Authority,  </w:t>
        <w:br/>
        <w:t xml:space="preserve">Having regard to the complete notification file submitted to the mergers department on February 6, 2023, concerning the acquisition of control over the companies Davai ENR and Davai ENR DEVCO by the company Mirova and the companies Davai Investment and AGL Investment, formalized by an investment protocol dated December 22, 2022;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Mirova and the companies Davai Investment and AGL Investment of the companies Davai ENR and Davai ENR DEVCO, active in the electricity sector, and more specifically in the production and wholesale sale of electricity. It constitutes a concentration operation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22-330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