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https://www.autoritedelaconcurrence.fr/fr/decision-de-controle-des-concentrations/relative-la-prise-de-controle-exclusif-des-societes-dg8</w:t>
      </w:r>
    </w:p>
    <w:p>
      <w:r>
        <w:t>Pages translated : 2</w:t>
      </w:r>
    </w:p>
    <w:p/>
    <w:p>
      <w:r>
        <w:rPr>
          <w:b/>
        </w:rPr>
        <w:t>[Pages 1–2]</w:t>
      </w:r>
    </w:p>
    <w:p>
      <w:r>
        <w:t xml:space="preserve">FRENCH REPUBLIC  </w:t>
        <w:br/>
        <w:t xml:space="preserve">Decision No. 22-DCC-215 of November 9, 2022  </w:t>
        <w:br/>
        <w:t xml:space="preserve">regarding the exclusive control acquisition of DG8 Motors Bellegarde and DG8 Motors Pays de Gex by the Deffeuille group  </w:t>
        <w:br/>
        <w:t xml:space="preserve">The Competition Authority,  </w:t>
        <w:br/>
        <w:t xml:space="preserve">Having regard to the complete notification file sent to the mergers department on October 20, 2022, concerning the acquisition of control by the company SODEFI, a subsidiary of the Deffeuille group, of the companies DG8 Motors Bellegarde and DG8 Motors Pays de Gex, formalized by a letter of intent dated July 20,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DG8 Motors Bellegarde and DG8 Motors Pays de Gex located in Valsérhone and Cessy by the company SODEFI, a subsidiary of the Deffeuille group, which is active in the automobile distribution sector, the operation of service stations, and the distribution and repair of recreational vehicles.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22-269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